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78458C" w:rsidRDefault="001521B7" w:rsidP="000607BA">
      <w:pPr>
        <w:spacing w:after="0" w:line="360" w:lineRule="auto"/>
        <w:jc w:val="both"/>
        <w:rPr>
          <w:rFonts w:ascii="Palatino Linotype" w:hAnsi="Palatino Linotype"/>
          <w:b/>
        </w:rPr>
      </w:pPr>
      <w:r w:rsidRPr="0078458C">
        <w:rPr>
          <w:rFonts w:ascii="Palatino Linotype" w:hAnsi="Palatino Linotype"/>
          <w:b/>
        </w:rPr>
        <w:t>VOTO PARTICULAR QUE FORMULA</w:t>
      </w:r>
      <w:r w:rsidR="00E203E1" w:rsidRPr="0078458C">
        <w:rPr>
          <w:rFonts w:ascii="Palatino Linotype" w:hAnsi="Palatino Linotype"/>
          <w:b/>
        </w:rPr>
        <w:t xml:space="preserve"> </w:t>
      </w:r>
      <w:r w:rsidRPr="0078458C">
        <w:rPr>
          <w:rFonts w:ascii="Palatino Linotype" w:hAnsi="Palatino Linotype"/>
          <w:b/>
        </w:rPr>
        <w:t>EL C</w:t>
      </w:r>
      <w:r w:rsidR="00E203E1" w:rsidRPr="0078458C">
        <w:rPr>
          <w:rFonts w:ascii="Palatino Linotype" w:hAnsi="Palatino Linotype"/>
          <w:b/>
        </w:rPr>
        <w:t>OMISIONADO JAVIER MARTÍNEZ CRUZ</w:t>
      </w:r>
      <w:r w:rsidRPr="0078458C">
        <w:rPr>
          <w:rFonts w:ascii="Palatino Linotype" w:hAnsi="Palatino Linotype"/>
          <w:b/>
        </w:rPr>
        <w:t xml:space="preserve">, EN RELACIÓN CON LA RESOLUCIÓN DICTADA POR EL PLENO DEL INSTITUTO DE TRANSPARENCIA, ACCESO A LA INFORMACIÓN PÚBLICA Y </w:t>
      </w:r>
      <w:r w:rsidRPr="00E97CC5">
        <w:rPr>
          <w:rFonts w:ascii="Palatino Linotype" w:hAnsi="Palatino Linotype"/>
          <w:b/>
        </w:rPr>
        <w:t xml:space="preserve">PROTECCIÓN DE DATOS PERSONALES DEL ESTADO DE MÉXICO Y MUNICIPIOS, EN LA </w:t>
      </w:r>
      <w:r w:rsidR="00D22C4E" w:rsidRPr="00E97CC5">
        <w:rPr>
          <w:rFonts w:ascii="Palatino Linotype" w:hAnsi="Palatino Linotype"/>
          <w:b/>
        </w:rPr>
        <w:t xml:space="preserve">DÉCIMA </w:t>
      </w:r>
      <w:r w:rsidR="00CA1049" w:rsidRPr="00E97CC5">
        <w:rPr>
          <w:rFonts w:ascii="Palatino Linotype" w:hAnsi="Palatino Linotype"/>
          <w:b/>
        </w:rPr>
        <w:t xml:space="preserve">SEGUNDA </w:t>
      </w:r>
      <w:r w:rsidR="00AE35F2" w:rsidRPr="00E97CC5">
        <w:rPr>
          <w:rFonts w:ascii="Palatino Linotype" w:hAnsi="Palatino Linotype"/>
          <w:b/>
        </w:rPr>
        <w:t xml:space="preserve">SESIÓN </w:t>
      </w:r>
      <w:r w:rsidRPr="00E97CC5">
        <w:rPr>
          <w:rFonts w:ascii="Palatino Linotype" w:hAnsi="Palatino Linotype"/>
          <w:b/>
        </w:rPr>
        <w:t xml:space="preserve">ORDINARIA DEL </w:t>
      </w:r>
      <w:r w:rsidR="003A25DC" w:rsidRPr="00E97CC5">
        <w:rPr>
          <w:rFonts w:ascii="Palatino Linotype" w:hAnsi="Palatino Linotype"/>
          <w:b/>
        </w:rPr>
        <w:t xml:space="preserve">DÍA </w:t>
      </w:r>
      <w:r w:rsidR="00293C24" w:rsidRPr="00E97CC5">
        <w:rPr>
          <w:rFonts w:ascii="Palatino Linotype" w:hAnsi="Palatino Linotype"/>
          <w:b/>
        </w:rPr>
        <w:t xml:space="preserve">VEINTISÉIS </w:t>
      </w:r>
      <w:r w:rsidR="00D22C4E" w:rsidRPr="00E97CC5">
        <w:rPr>
          <w:rFonts w:ascii="Palatino Linotype" w:hAnsi="Palatino Linotype"/>
          <w:b/>
        </w:rPr>
        <w:t xml:space="preserve">DE MARZO </w:t>
      </w:r>
      <w:r w:rsidRPr="00E97CC5">
        <w:rPr>
          <w:rFonts w:ascii="Palatino Linotype" w:hAnsi="Palatino Linotype"/>
          <w:b/>
        </w:rPr>
        <w:t>DE</w:t>
      </w:r>
      <w:r w:rsidRPr="0078458C">
        <w:rPr>
          <w:rFonts w:ascii="Palatino Linotype" w:hAnsi="Palatino Linotype"/>
          <w:b/>
        </w:rPr>
        <w:t xml:space="preserve"> DOS MIL DIECI</w:t>
      </w:r>
      <w:r w:rsidR="00E203E1" w:rsidRPr="0078458C">
        <w:rPr>
          <w:rFonts w:ascii="Palatino Linotype" w:hAnsi="Palatino Linotype"/>
          <w:b/>
        </w:rPr>
        <w:t>NUEVE</w:t>
      </w:r>
      <w:r w:rsidRPr="0078458C">
        <w:rPr>
          <w:rFonts w:ascii="Palatino Linotype" w:hAnsi="Palatino Linotype"/>
          <w:b/>
        </w:rPr>
        <w:t>, EN EL RECURSO DE REVISIÓN 0</w:t>
      </w:r>
      <w:r w:rsidR="00CA1049">
        <w:rPr>
          <w:rFonts w:ascii="Palatino Linotype" w:hAnsi="Palatino Linotype"/>
          <w:b/>
        </w:rPr>
        <w:t>0417</w:t>
      </w:r>
      <w:r w:rsidR="00143624" w:rsidRPr="0078458C">
        <w:rPr>
          <w:rFonts w:ascii="Palatino Linotype" w:hAnsi="Palatino Linotype"/>
          <w:b/>
        </w:rPr>
        <w:t>/INFOEM/IP/RR/201</w:t>
      </w:r>
      <w:r w:rsidR="00D22C4E" w:rsidRPr="0078458C">
        <w:rPr>
          <w:rFonts w:ascii="Palatino Linotype" w:hAnsi="Palatino Linotype"/>
          <w:b/>
        </w:rPr>
        <w:t>9</w:t>
      </w:r>
      <w:r w:rsidRPr="0078458C">
        <w:rPr>
          <w:rFonts w:ascii="Palatino Linotype" w:hAnsi="Palatino Linotype"/>
          <w:b/>
        </w:rPr>
        <w:t>.</w:t>
      </w:r>
    </w:p>
    <w:p w:rsidR="004B391C" w:rsidRPr="00F71791" w:rsidRDefault="004B391C" w:rsidP="00F71791">
      <w:pPr>
        <w:spacing w:after="0" w:line="240" w:lineRule="auto"/>
        <w:jc w:val="both"/>
        <w:rPr>
          <w:rFonts w:ascii="Palatino Linotype" w:hAnsi="Palatino Linotype"/>
          <w:sz w:val="16"/>
          <w:szCs w:val="16"/>
        </w:rPr>
      </w:pPr>
    </w:p>
    <w:p w:rsidR="001521B7" w:rsidRPr="0078458C" w:rsidRDefault="00661C85" w:rsidP="00313A4C">
      <w:pPr>
        <w:spacing w:after="0" w:line="360" w:lineRule="auto"/>
        <w:jc w:val="both"/>
        <w:rPr>
          <w:rFonts w:ascii="Palatino Linotype" w:hAnsi="Palatino Linotype"/>
        </w:rPr>
      </w:pPr>
      <w:r w:rsidRPr="0078458C">
        <w:rPr>
          <w:rFonts w:ascii="Palatino Linotype" w:hAnsi="Palatino Linotype"/>
        </w:rPr>
        <w:t>Con fundamento en lo dispuesto por el artículo 14</w:t>
      </w:r>
      <w:r w:rsidR="002D3ACC" w:rsidRPr="0078458C">
        <w:rPr>
          <w:rFonts w:ascii="Palatino Linotype" w:hAnsi="Palatino Linotype"/>
        </w:rPr>
        <w:t>, fracciones</w:t>
      </w:r>
      <w:r w:rsidRPr="0078458C">
        <w:rPr>
          <w:rFonts w:ascii="Palatino Linotype" w:hAnsi="Palatino Linotype"/>
        </w:rPr>
        <w:t xml:space="preserve"> X y XI del Reglamento Interior del Instituto de Transparencia, Acceso a la Información Pública y Protección de Datos Personales del</w:t>
      </w:r>
      <w:r w:rsidR="00E203E1" w:rsidRPr="0078458C">
        <w:rPr>
          <w:rFonts w:ascii="Palatino Linotype" w:hAnsi="Palatino Linotype"/>
        </w:rPr>
        <w:t xml:space="preserve"> Estado de México y Municipios, el </w:t>
      </w:r>
      <w:r w:rsidR="00CC2D22" w:rsidRPr="0078458C">
        <w:rPr>
          <w:rFonts w:ascii="Palatino Linotype" w:hAnsi="Palatino Linotype"/>
        </w:rPr>
        <w:t>Comisionado Javier Martínez Cruz</w:t>
      </w:r>
      <w:r w:rsidR="00E203E1" w:rsidRPr="0078458C">
        <w:rPr>
          <w:rFonts w:ascii="Palatino Linotype" w:hAnsi="Palatino Linotype"/>
        </w:rPr>
        <w:t xml:space="preserve"> e</w:t>
      </w:r>
      <w:r w:rsidR="00CC2D22" w:rsidRPr="0078458C">
        <w:rPr>
          <w:rFonts w:ascii="Palatino Linotype" w:hAnsi="Palatino Linotype"/>
        </w:rPr>
        <w:t xml:space="preserve">mite VOTO PARTICULAR respecto a la resolución dictada en el recurso de revisión número </w:t>
      </w:r>
      <w:r w:rsidR="00143624" w:rsidRPr="0078458C">
        <w:rPr>
          <w:rFonts w:ascii="Palatino Linotype" w:hAnsi="Palatino Linotype"/>
        </w:rPr>
        <w:t>0</w:t>
      </w:r>
      <w:r w:rsidR="00CB6925">
        <w:rPr>
          <w:rFonts w:ascii="Palatino Linotype" w:hAnsi="Palatino Linotype"/>
        </w:rPr>
        <w:t>0417</w:t>
      </w:r>
      <w:r w:rsidR="00143624" w:rsidRPr="0078458C">
        <w:rPr>
          <w:rFonts w:ascii="Palatino Linotype" w:hAnsi="Palatino Linotype"/>
        </w:rPr>
        <w:t>/</w:t>
      </w:r>
      <w:r w:rsidRPr="0078458C">
        <w:rPr>
          <w:rFonts w:ascii="Palatino Linotype" w:hAnsi="Palatino Linotype"/>
        </w:rPr>
        <w:t>INFOEM/IP/RR/201</w:t>
      </w:r>
      <w:r w:rsidR="00D22C4E" w:rsidRPr="0078458C">
        <w:rPr>
          <w:rFonts w:ascii="Palatino Linotype" w:hAnsi="Palatino Linotype"/>
        </w:rPr>
        <w:t>9</w:t>
      </w:r>
      <w:r w:rsidRPr="0078458C">
        <w:rPr>
          <w:rFonts w:ascii="Palatino Linotype" w:hAnsi="Palatino Linotype"/>
        </w:rPr>
        <w:t xml:space="preserve">, pronunciada por el Pleno de este Instituto ante el proyecto presentado por </w:t>
      </w:r>
      <w:r w:rsidR="00CB6925">
        <w:rPr>
          <w:rFonts w:ascii="Palatino Linotype" w:hAnsi="Palatino Linotype"/>
        </w:rPr>
        <w:t xml:space="preserve">la </w:t>
      </w:r>
      <w:r w:rsidR="00D22C4E" w:rsidRPr="0078458C">
        <w:rPr>
          <w:rFonts w:ascii="Palatino Linotype" w:hAnsi="Palatino Linotype"/>
        </w:rPr>
        <w:t>Comisionad</w:t>
      </w:r>
      <w:r w:rsidR="00CB6925">
        <w:rPr>
          <w:rFonts w:ascii="Palatino Linotype" w:hAnsi="Palatino Linotype"/>
        </w:rPr>
        <w:t xml:space="preserve">a Eva Abaid Yapur,  </w:t>
      </w:r>
      <w:r w:rsidRPr="0078458C">
        <w:rPr>
          <w:rFonts w:ascii="Palatino Linotype" w:hAnsi="Palatino Linotype"/>
        </w:rPr>
        <w:t>que es del tenor siguiente</w:t>
      </w:r>
      <w:r w:rsidR="00313A4C">
        <w:rPr>
          <w:rFonts w:ascii="Palatino Linotype" w:hAnsi="Palatino Linotype"/>
        </w:rPr>
        <w:t xml:space="preserve">: </w:t>
      </w:r>
    </w:p>
    <w:p w:rsidR="000714F2" w:rsidRDefault="00314438" w:rsidP="000714F2">
      <w:pPr>
        <w:spacing w:before="120" w:after="120" w:line="360" w:lineRule="auto"/>
        <w:jc w:val="both"/>
        <w:rPr>
          <w:rFonts w:ascii="Palatino Linotype" w:hAnsi="Palatino Linotype" w:cs="Arial"/>
          <w:bCs/>
          <w:lang w:val="es-ES"/>
        </w:rPr>
      </w:pPr>
      <w:r w:rsidRPr="0078458C">
        <w:rPr>
          <w:rFonts w:ascii="Palatino Linotype" w:hAnsi="Palatino Linotype"/>
        </w:rPr>
        <w:t xml:space="preserve">De manera previa a la emisión del presente voto, cabe precisar que </w:t>
      </w:r>
      <w:r w:rsidR="00346DEE" w:rsidRPr="0078458C">
        <w:rPr>
          <w:rFonts w:ascii="Palatino Linotype" w:hAnsi="Palatino Linotype"/>
        </w:rPr>
        <w:t xml:space="preserve">el </w:t>
      </w:r>
      <w:r w:rsidRPr="0078458C">
        <w:rPr>
          <w:rFonts w:ascii="Palatino Linotype" w:hAnsi="Palatino Linotype"/>
        </w:rPr>
        <w:t xml:space="preserve">particular </w:t>
      </w:r>
      <w:r w:rsidRPr="0078458C">
        <w:rPr>
          <w:rFonts w:ascii="Palatino Linotype" w:hAnsi="Palatino Linotype" w:cs="Arial"/>
          <w:bCs/>
          <w:lang w:val="es-ES"/>
        </w:rPr>
        <w:t xml:space="preserve">requirió al </w:t>
      </w:r>
      <w:r w:rsidR="00313A4C" w:rsidRPr="00313A4C">
        <w:rPr>
          <w:rFonts w:ascii="Palatino Linotype" w:hAnsi="Palatino Linotype" w:cs="Arial"/>
          <w:bCs/>
          <w:lang w:val="es-ES"/>
        </w:rPr>
        <w:t>Organismo de Agua y Saneamiento de Toluca</w:t>
      </w:r>
      <w:r w:rsidR="00313A4C">
        <w:rPr>
          <w:rFonts w:ascii="Palatino Linotype" w:hAnsi="Palatino Linotype" w:cs="Arial"/>
          <w:bCs/>
          <w:lang w:val="es-ES"/>
        </w:rPr>
        <w:t xml:space="preserve"> </w:t>
      </w:r>
      <w:r w:rsidRPr="0078458C">
        <w:rPr>
          <w:rFonts w:ascii="Palatino Linotype" w:hAnsi="Palatino Linotype" w:cs="Arial"/>
          <w:bCs/>
          <w:lang w:val="es-ES"/>
        </w:rPr>
        <w:t xml:space="preserve"> </w:t>
      </w:r>
      <w:r w:rsidR="00313A4C" w:rsidRPr="00313A4C">
        <w:rPr>
          <w:rFonts w:ascii="Palatino Linotype" w:hAnsi="Palatino Linotype" w:cs="Arial"/>
          <w:bCs/>
          <w:lang w:val="es-ES"/>
        </w:rPr>
        <w:t>“</w:t>
      </w:r>
      <w:r w:rsidR="00313A4C">
        <w:rPr>
          <w:rFonts w:ascii="Palatino Linotype" w:hAnsi="Palatino Linotype" w:cs="Arial"/>
          <w:bCs/>
          <w:lang w:val="es-ES"/>
        </w:rPr>
        <w:t>1) D</w:t>
      </w:r>
      <w:r w:rsidR="00313A4C" w:rsidRPr="00313A4C">
        <w:rPr>
          <w:rFonts w:ascii="Palatino Linotype" w:hAnsi="Palatino Linotype" w:cs="Arial"/>
          <w:bCs/>
          <w:lang w:val="es-ES"/>
        </w:rPr>
        <w:t>entro de los requisitos que solicita el OSFEM</w:t>
      </w:r>
      <w:r w:rsidR="00313A4C">
        <w:rPr>
          <w:rFonts w:ascii="Palatino Linotype" w:hAnsi="Palatino Linotype" w:cs="Arial"/>
          <w:bCs/>
          <w:lang w:val="es-ES"/>
        </w:rPr>
        <w:t xml:space="preserve"> para desempeñar los cargos de Contralor y T</w:t>
      </w:r>
      <w:r w:rsidR="00313A4C" w:rsidRPr="00313A4C">
        <w:rPr>
          <w:rFonts w:ascii="Palatino Linotype" w:hAnsi="Palatino Linotype" w:cs="Arial"/>
          <w:bCs/>
          <w:lang w:val="es-ES"/>
        </w:rPr>
        <w:t xml:space="preserve">esorero, requiero la información siguiente: </w:t>
      </w:r>
      <w:r w:rsidR="00313A4C">
        <w:rPr>
          <w:rFonts w:ascii="Palatino Linotype" w:hAnsi="Palatino Linotype" w:cs="Arial"/>
          <w:bCs/>
          <w:lang w:val="es-ES"/>
        </w:rPr>
        <w:t>t</w:t>
      </w:r>
      <w:r w:rsidR="00313A4C" w:rsidRPr="00313A4C">
        <w:rPr>
          <w:rFonts w:ascii="Palatino Linotype" w:hAnsi="Palatino Linotype" w:cs="Arial"/>
          <w:bCs/>
          <w:lang w:val="es-ES"/>
        </w:rPr>
        <w:t>ítulo profesional experiencia mínima de</w:t>
      </w:r>
      <w:r w:rsidR="00313A4C">
        <w:rPr>
          <w:rFonts w:ascii="Palatino Linotype" w:hAnsi="Palatino Linotype" w:cs="Arial"/>
          <w:bCs/>
          <w:lang w:val="es-ES"/>
        </w:rPr>
        <w:t xml:space="preserve"> un año (evidencia documental) c</w:t>
      </w:r>
      <w:r w:rsidR="00313A4C" w:rsidRPr="00313A4C">
        <w:rPr>
          <w:rFonts w:ascii="Palatino Linotype" w:hAnsi="Palatino Linotype" w:cs="Arial"/>
          <w:bCs/>
          <w:lang w:val="es-ES"/>
        </w:rPr>
        <w:t xml:space="preserve">ertificación de competencia laboral expedida por el </w:t>
      </w:r>
      <w:r w:rsidR="00313A4C">
        <w:rPr>
          <w:rFonts w:ascii="Palatino Linotype" w:hAnsi="Palatino Linotype" w:cs="Arial"/>
          <w:bCs/>
          <w:lang w:val="es-ES"/>
        </w:rPr>
        <w:t>Instituto Hacendario del Estado d</w:t>
      </w:r>
      <w:r w:rsidR="00313A4C" w:rsidRPr="00313A4C">
        <w:rPr>
          <w:rFonts w:ascii="Palatino Linotype" w:hAnsi="Palatino Linotype" w:cs="Arial"/>
          <w:bCs/>
          <w:lang w:val="es-ES"/>
        </w:rPr>
        <w:t>e México certificado de antecedentes no penales 2) nombramientos de los mandos medios y superiores, con sus respectivos curriculum 3) salarios de los mandos medios y superiores la información se refiere a la administracion 2019-2021.”</w:t>
      </w:r>
      <w:r w:rsidR="00DC1FFE" w:rsidRPr="0078458C">
        <w:rPr>
          <w:rFonts w:ascii="Palatino Linotype" w:hAnsi="Palatino Linotype" w:cs="Arial"/>
          <w:bCs/>
          <w:lang w:val="es-ES"/>
        </w:rPr>
        <w:t>.”</w:t>
      </w:r>
    </w:p>
    <w:p w:rsidR="00F71791" w:rsidRPr="00F71791" w:rsidRDefault="00F71791" w:rsidP="00F71791">
      <w:pPr>
        <w:spacing w:after="0" w:line="240" w:lineRule="auto"/>
        <w:jc w:val="both"/>
        <w:rPr>
          <w:rFonts w:ascii="Palatino Linotype" w:hAnsi="Palatino Linotype" w:cs="Arial"/>
          <w:bCs/>
          <w:sz w:val="16"/>
          <w:szCs w:val="16"/>
          <w:lang w:val="es-ES"/>
        </w:rPr>
      </w:pPr>
    </w:p>
    <w:p w:rsidR="00882515" w:rsidRPr="00947EB3" w:rsidRDefault="00346DEE" w:rsidP="00882515">
      <w:pPr>
        <w:spacing w:before="120" w:after="120" w:line="360" w:lineRule="auto"/>
        <w:jc w:val="both"/>
        <w:rPr>
          <w:rFonts w:ascii="Palatino Linotype" w:eastAsia="Calibri" w:hAnsi="Palatino Linotype" w:cs="Arial"/>
        </w:rPr>
      </w:pPr>
      <w:r w:rsidRPr="00293C24">
        <w:rPr>
          <w:rFonts w:ascii="Palatino Linotype" w:hAnsi="Palatino Linotype" w:cs="Arial"/>
          <w:bCs/>
          <w:lang w:val="es-ES"/>
        </w:rPr>
        <w:t>E</w:t>
      </w:r>
      <w:r w:rsidR="00531DBB" w:rsidRPr="00293C24">
        <w:rPr>
          <w:rFonts w:ascii="Palatino Linotype" w:hAnsi="Palatino Linotype" w:cs="Arial"/>
          <w:bCs/>
          <w:lang w:val="es-ES"/>
        </w:rPr>
        <w:t>l Sujeto Obligado</w:t>
      </w:r>
      <w:r w:rsidRPr="00293C24">
        <w:rPr>
          <w:rFonts w:ascii="Palatino Linotype" w:hAnsi="Palatino Linotype" w:cs="Arial"/>
          <w:bCs/>
          <w:lang w:val="es-ES"/>
        </w:rPr>
        <w:t xml:space="preserve"> en respuesta</w:t>
      </w:r>
      <w:r w:rsidR="00882515" w:rsidRPr="00293C24">
        <w:rPr>
          <w:rFonts w:ascii="Palatino Linotype" w:hAnsi="Palatino Linotype" w:cs="Arial"/>
          <w:bCs/>
          <w:lang w:val="es-ES"/>
        </w:rPr>
        <w:t xml:space="preserve"> sustancialmente manifestó que  conforme</w:t>
      </w:r>
      <w:r w:rsidR="00882515">
        <w:rPr>
          <w:rFonts w:ascii="Palatino Linotype" w:hAnsi="Palatino Linotype" w:cs="Arial"/>
          <w:bCs/>
          <w:lang w:val="es-ES"/>
        </w:rPr>
        <w:t xml:space="preserve"> a su reglamento, </w:t>
      </w:r>
      <w:r w:rsidR="00882515" w:rsidRPr="00947EB3">
        <w:rPr>
          <w:rFonts w:ascii="Palatino Linotype" w:eastAsia="Calibri" w:hAnsi="Palatino Linotype" w:cs="Arial"/>
        </w:rPr>
        <w:t>el Organismo no contempla dentro de su estructura orgánica el cargo de Tesorero</w:t>
      </w:r>
      <w:r w:rsidR="00882515">
        <w:rPr>
          <w:rFonts w:ascii="Palatino Linotype" w:eastAsia="Calibri" w:hAnsi="Palatino Linotype" w:cs="Arial"/>
        </w:rPr>
        <w:t xml:space="preserve">, </w:t>
      </w:r>
      <w:r w:rsidR="00882515" w:rsidRPr="00947EB3">
        <w:rPr>
          <w:rFonts w:ascii="Palatino Linotype" w:eastAsia="Calibri" w:hAnsi="Palatino Linotype" w:cs="Arial"/>
        </w:rPr>
        <w:t>por lo que no puede entregar información al respecto</w:t>
      </w:r>
      <w:r w:rsidR="00882515">
        <w:rPr>
          <w:rFonts w:ascii="Palatino Linotype" w:eastAsia="Calibri" w:hAnsi="Palatino Linotype" w:cs="Arial"/>
        </w:rPr>
        <w:t xml:space="preserve">; que conforme al </w:t>
      </w:r>
      <w:r w:rsidR="00882515" w:rsidRPr="00947EB3">
        <w:rPr>
          <w:rFonts w:ascii="Palatino Linotype" w:eastAsia="Calibri" w:hAnsi="Palatino Linotype" w:cs="Arial"/>
        </w:rPr>
        <w:t xml:space="preserve">artículo 96 de la Ley Orgánica </w:t>
      </w:r>
      <w:r w:rsidR="00882515" w:rsidRPr="00947EB3">
        <w:rPr>
          <w:rFonts w:ascii="Palatino Linotype" w:eastAsia="Calibri" w:hAnsi="Palatino Linotype" w:cs="Arial"/>
        </w:rPr>
        <w:lastRenderedPageBreak/>
        <w:t>Municipal del Estado de México no es extensivo para los organismos descen</w:t>
      </w:r>
      <w:r w:rsidR="00882515">
        <w:rPr>
          <w:rFonts w:ascii="Palatino Linotype" w:eastAsia="Calibri" w:hAnsi="Palatino Linotype" w:cs="Arial"/>
        </w:rPr>
        <w:t xml:space="preserve">tralizados; que </w:t>
      </w:r>
      <w:r w:rsidR="00882515" w:rsidRPr="00947EB3">
        <w:rPr>
          <w:rFonts w:ascii="Palatino Linotype" w:eastAsia="Calibri" w:hAnsi="Palatino Linotype" w:cs="Arial"/>
        </w:rPr>
        <w:t>el IHAEM</w:t>
      </w:r>
      <w:r w:rsidR="00882515">
        <w:rPr>
          <w:rFonts w:ascii="Palatino Linotype" w:eastAsia="Calibri" w:hAnsi="Palatino Linotype" w:cs="Arial"/>
        </w:rPr>
        <w:t xml:space="preserve"> </w:t>
      </w:r>
      <w:r w:rsidR="00882515" w:rsidRPr="00947EB3">
        <w:rPr>
          <w:rFonts w:ascii="Palatino Linotype" w:eastAsia="Calibri" w:hAnsi="Palatino Linotype" w:cs="Arial"/>
        </w:rPr>
        <w:t xml:space="preserve"> a través de su Coordinador de Capacitación y Secretario Técnico de la Comisión Certificadora de Competencia Laboral de los Servidores Públicos del Estado de México (COCERTEM)</w:t>
      </w:r>
      <w:r w:rsidR="00882515">
        <w:rPr>
          <w:rFonts w:ascii="Palatino Linotype" w:eastAsia="Calibri" w:hAnsi="Palatino Linotype" w:cs="Arial"/>
        </w:rPr>
        <w:t>,</w:t>
      </w:r>
      <w:r w:rsidR="00882515" w:rsidRPr="00947EB3">
        <w:rPr>
          <w:rFonts w:ascii="Palatino Linotype" w:eastAsia="Calibri" w:hAnsi="Palatino Linotype" w:cs="Arial"/>
        </w:rPr>
        <w:t xml:space="preserve"> le reiteró que la Ley Orgánica Municipal del Estado de México o cualquier otro ordenamiento jurídico no establece la obligatoriedad en comento.</w:t>
      </w:r>
    </w:p>
    <w:p w:rsidR="00D5086A" w:rsidRDefault="00882515" w:rsidP="00882515">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sz w:val="22"/>
          <w:szCs w:val="22"/>
        </w:rPr>
      </w:pPr>
      <w:r w:rsidRPr="00E10DD2">
        <w:rPr>
          <w:rFonts w:ascii="Palatino Linotype" w:hAnsi="Palatino Linotype" w:cs="Arial"/>
          <w:sz w:val="22"/>
          <w:szCs w:val="22"/>
        </w:rPr>
        <w:t>Por cuanto hace al Contralor,</w:t>
      </w:r>
      <w:r w:rsidR="00D5086A" w:rsidRPr="00E10DD2">
        <w:rPr>
          <w:rFonts w:ascii="Palatino Linotype" w:hAnsi="Palatino Linotype" w:cs="Arial"/>
          <w:sz w:val="22"/>
          <w:szCs w:val="22"/>
        </w:rPr>
        <w:t xml:space="preserve"> respondió que </w:t>
      </w:r>
      <w:r w:rsidRPr="00E10DD2">
        <w:rPr>
          <w:rFonts w:ascii="Palatino Linotype" w:hAnsi="Palatino Linotype" w:cs="Arial"/>
          <w:sz w:val="22"/>
          <w:szCs w:val="22"/>
        </w:rPr>
        <w:t>de conformidad con el artículo 14 de</w:t>
      </w:r>
      <w:r w:rsidR="00D5086A" w:rsidRPr="00E10DD2">
        <w:rPr>
          <w:rFonts w:ascii="Palatino Linotype" w:hAnsi="Palatino Linotype" w:cs="Arial"/>
          <w:sz w:val="22"/>
          <w:szCs w:val="22"/>
        </w:rPr>
        <w:t xml:space="preserve"> su </w:t>
      </w:r>
      <w:r w:rsidRPr="00E10DD2">
        <w:rPr>
          <w:rFonts w:ascii="Palatino Linotype" w:hAnsi="Palatino Linotype" w:cs="Arial"/>
          <w:sz w:val="22"/>
          <w:szCs w:val="22"/>
        </w:rPr>
        <w:t>Reglamento Interior</w:t>
      </w:r>
      <w:r w:rsidR="00D5086A" w:rsidRPr="00E10DD2">
        <w:rPr>
          <w:rFonts w:ascii="Palatino Linotype" w:hAnsi="Palatino Linotype" w:cs="Arial"/>
          <w:sz w:val="22"/>
          <w:szCs w:val="22"/>
        </w:rPr>
        <w:t xml:space="preserve">, </w:t>
      </w:r>
      <w:r w:rsidRPr="00E10DD2">
        <w:rPr>
          <w:rFonts w:ascii="Palatino Linotype" w:hAnsi="Palatino Linotype" w:cs="Arial"/>
          <w:sz w:val="22"/>
          <w:szCs w:val="22"/>
        </w:rPr>
        <w:t>cumpliendo con la Ley Orgánica Municipal del Estado de México, no se señala la obligatoriedad de contar con certificación para ostentar dicho cargo</w:t>
      </w:r>
      <w:r w:rsidR="00D5086A" w:rsidRPr="00E10DD2">
        <w:rPr>
          <w:rFonts w:ascii="Palatino Linotype" w:hAnsi="Palatino Linotype" w:cs="Arial"/>
          <w:sz w:val="22"/>
          <w:szCs w:val="22"/>
        </w:rPr>
        <w:t xml:space="preserve">, </w:t>
      </w:r>
      <w:r w:rsidRPr="00E10DD2">
        <w:rPr>
          <w:rFonts w:ascii="Palatino Linotype" w:hAnsi="Palatino Linotype" w:cs="Arial"/>
          <w:sz w:val="22"/>
          <w:szCs w:val="22"/>
        </w:rPr>
        <w:t>por lo que, el servidor público en comento cumple con los requisitos que la normatividad vigente exige para su contratación</w:t>
      </w:r>
      <w:r w:rsidR="00D5086A" w:rsidRPr="00E10DD2">
        <w:rPr>
          <w:rFonts w:ascii="Palatino Linotype" w:hAnsi="Palatino Linotype" w:cs="Arial"/>
          <w:sz w:val="22"/>
          <w:szCs w:val="22"/>
        </w:rPr>
        <w:t>.</w:t>
      </w:r>
    </w:p>
    <w:p w:rsidR="00E10DD2" w:rsidRPr="00E10DD2" w:rsidRDefault="00E10DD2" w:rsidP="00E10DD2">
      <w:pPr>
        <w:pStyle w:val="Prrafodelista"/>
        <w:widowControl w:val="0"/>
        <w:tabs>
          <w:tab w:val="left" w:pos="1276"/>
        </w:tabs>
        <w:autoSpaceDE w:val="0"/>
        <w:autoSpaceDN w:val="0"/>
        <w:adjustRightInd w:val="0"/>
        <w:ind w:left="0"/>
        <w:jc w:val="both"/>
        <w:rPr>
          <w:rFonts w:ascii="Palatino Linotype" w:hAnsi="Palatino Linotype" w:cs="Arial"/>
          <w:sz w:val="16"/>
          <w:szCs w:val="16"/>
        </w:rPr>
      </w:pPr>
    </w:p>
    <w:p w:rsidR="00882515" w:rsidRPr="00E10DD2" w:rsidRDefault="00882515" w:rsidP="00E10DD2">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sz w:val="22"/>
          <w:szCs w:val="22"/>
        </w:rPr>
      </w:pPr>
      <w:r w:rsidRPr="00E10DD2">
        <w:rPr>
          <w:rFonts w:ascii="Palatino Linotype" w:hAnsi="Palatino Linotype" w:cs="Arial"/>
          <w:sz w:val="22"/>
          <w:szCs w:val="22"/>
        </w:rPr>
        <w:t xml:space="preserve">Respecto a los </w:t>
      </w:r>
      <w:r w:rsidRPr="00E10DD2">
        <w:rPr>
          <w:rFonts w:ascii="Palatino Linotype" w:hAnsi="Palatino Linotype" w:cs="Arial"/>
          <w:color w:val="000000" w:themeColor="text1"/>
          <w:sz w:val="22"/>
          <w:szCs w:val="22"/>
        </w:rPr>
        <w:t xml:space="preserve">nombramientos de </w:t>
      </w:r>
      <w:r w:rsidR="00D5086A" w:rsidRPr="00E10DD2">
        <w:rPr>
          <w:rFonts w:ascii="Palatino Linotype" w:hAnsi="Palatino Linotype" w:cs="Arial"/>
          <w:color w:val="000000" w:themeColor="text1"/>
          <w:sz w:val="22"/>
          <w:szCs w:val="22"/>
        </w:rPr>
        <w:t>los servidores públicos de</w:t>
      </w:r>
      <w:r w:rsidRPr="00E10DD2">
        <w:rPr>
          <w:rFonts w:ascii="Palatino Linotype" w:hAnsi="Palatino Linotype" w:cs="Arial"/>
          <w:color w:val="000000" w:themeColor="text1"/>
          <w:sz w:val="22"/>
          <w:szCs w:val="22"/>
        </w:rPr>
        <w:t xml:space="preserve"> mandos medios y superiores con sus respectivos Currículums</w:t>
      </w:r>
      <w:r w:rsidR="00D5086A" w:rsidRPr="00E10DD2">
        <w:rPr>
          <w:rFonts w:ascii="Palatino Linotype" w:hAnsi="Palatino Linotype" w:cs="Arial"/>
          <w:color w:val="000000" w:themeColor="text1"/>
          <w:sz w:val="22"/>
          <w:szCs w:val="22"/>
        </w:rPr>
        <w:t>, el Sujeto Obligado</w:t>
      </w:r>
      <w:r w:rsidRPr="00E10DD2">
        <w:rPr>
          <w:rFonts w:ascii="Palatino Linotype" w:hAnsi="Palatino Linotype" w:cs="Arial"/>
          <w:color w:val="000000" w:themeColor="text1"/>
          <w:sz w:val="22"/>
          <w:szCs w:val="22"/>
        </w:rPr>
        <w:t xml:space="preserve"> remitió 42 nombramientos con los</w:t>
      </w:r>
      <w:r w:rsidR="00E10DD2">
        <w:rPr>
          <w:rFonts w:ascii="Palatino Linotype" w:hAnsi="Palatino Linotype" w:cs="Arial"/>
          <w:color w:val="000000" w:themeColor="text1"/>
          <w:sz w:val="22"/>
          <w:szCs w:val="22"/>
        </w:rPr>
        <w:t xml:space="preserve"> </w:t>
      </w:r>
      <w:r w:rsidRPr="00E10DD2">
        <w:rPr>
          <w:rFonts w:ascii="Palatino Linotype" w:hAnsi="Palatino Linotype" w:cs="Arial"/>
          <w:color w:val="000000" w:themeColor="text1"/>
          <w:sz w:val="22"/>
          <w:szCs w:val="22"/>
        </w:rPr>
        <w:t>cargos de Director General, Directores de área</w:t>
      </w:r>
      <w:r w:rsidR="00E10DD2" w:rsidRPr="00E10DD2">
        <w:rPr>
          <w:rFonts w:ascii="Palatino Linotype" w:hAnsi="Palatino Linotype" w:cs="Arial"/>
          <w:color w:val="000000" w:themeColor="text1"/>
          <w:sz w:val="22"/>
          <w:szCs w:val="22"/>
        </w:rPr>
        <w:t xml:space="preserve">, </w:t>
      </w:r>
      <w:r w:rsidRPr="00E10DD2">
        <w:rPr>
          <w:rFonts w:ascii="Palatino Linotype" w:hAnsi="Palatino Linotype" w:cs="Arial"/>
          <w:color w:val="000000" w:themeColor="text1"/>
          <w:sz w:val="22"/>
          <w:szCs w:val="22"/>
        </w:rPr>
        <w:t>Subdirectores, Jefes de Departamento, Contralor y Coordinadores</w:t>
      </w:r>
      <w:r w:rsidR="00E10DD2" w:rsidRPr="00E10DD2">
        <w:rPr>
          <w:rFonts w:ascii="Palatino Linotype" w:hAnsi="Palatino Linotype" w:cs="Arial"/>
          <w:color w:val="000000" w:themeColor="text1"/>
          <w:sz w:val="22"/>
          <w:szCs w:val="22"/>
        </w:rPr>
        <w:t xml:space="preserve">, no obstante, por lo que hace a la </w:t>
      </w:r>
      <w:r w:rsidRPr="00E10DD2">
        <w:rPr>
          <w:rFonts w:ascii="Palatino Linotype" w:hAnsi="Palatino Linotype" w:cs="Arial"/>
          <w:color w:val="000000" w:themeColor="text1"/>
          <w:sz w:val="22"/>
          <w:szCs w:val="22"/>
        </w:rPr>
        <w:t xml:space="preserve">información curricular, </w:t>
      </w:r>
      <w:r w:rsidR="00E10DD2" w:rsidRPr="00E10DD2">
        <w:rPr>
          <w:rFonts w:ascii="Palatino Linotype" w:hAnsi="Palatino Linotype" w:cs="Arial"/>
          <w:color w:val="000000" w:themeColor="text1"/>
          <w:sz w:val="22"/>
          <w:szCs w:val="22"/>
        </w:rPr>
        <w:t xml:space="preserve">manifestó que </w:t>
      </w:r>
      <w:r w:rsidRPr="00E10DD2">
        <w:rPr>
          <w:rFonts w:ascii="Palatino Linotype" w:hAnsi="Palatino Linotype" w:cs="Arial"/>
          <w:color w:val="000000" w:themeColor="text1"/>
          <w:sz w:val="22"/>
          <w:szCs w:val="22"/>
        </w:rPr>
        <w:t xml:space="preserve">derivado del número de personal que ingresó a cubrir los cargos de mandos medios y superiores al organismo, y </w:t>
      </w:r>
      <w:r w:rsidR="00E10DD2" w:rsidRPr="00E10DD2">
        <w:rPr>
          <w:rFonts w:ascii="Palatino Linotype" w:hAnsi="Palatino Linotype" w:cs="Arial"/>
          <w:color w:val="000000" w:themeColor="text1"/>
          <w:sz w:val="22"/>
          <w:szCs w:val="22"/>
        </w:rPr>
        <w:t xml:space="preserve">debido a lo extenso de dicha información </w:t>
      </w:r>
      <w:r w:rsidRPr="00E10DD2">
        <w:rPr>
          <w:rFonts w:ascii="Palatino Linotype" w:hAnsi="Palatino Linotype" w:cs="Arial"/>
          <w:color w:val="000000" w:themeColor="text1"/>
          <w:sz w:val="22"/>
          <w:szCs w:val="22"/>
        </w:rPr>
        <w:t>resulta de difícil procesamiento</w:t>
      </w:r>
      <w:r w:rsidR="00E10DD2" w:rsidRPr="00E10DD2">
        <w:rPr>
          <w:rFonts w:ascii="Palatino Linotype" w:hAnsi="Palatino Linotype" w:cs="Arial"/>
          <w:color w:val="000000" w:themeColor="text1"/>
          <w:sz w:val="22"/>
          <w:szCs w:val="22"/>
        </w:rPr>
        <w:t xml:space="preserve">, por lo que </w:t>
      </w:r>
      <w:r w:rsidRPr="00E10DD2">
        <w:rPr>
          <w:rFonts w:ascii="Palatino Linotype" w:hAnsi="Palatino Linotype" w:cs="Arial"/>
          <w:color w:val="000000" w:themeColor="text1"/>
          <w:sz w:val="22"/>
          <w:szCs w:val="22"/>
        </w:rPr>
        <w:t>puso a disposición del particular la información para su consulta</w:t>
      </w:r>
      <w:r w:rsidR="00E10DD2" w:rsidRPr="00E10DD2">
        <w:rPr>
          <w:rFonts w:ascii="Palatino Linotype" w:hAnsi="Palatino Linotype" w:cs="Arial"/>
          <w:color w:val="000000" w:themeColor="text1"/>
          <w:sz w:val="22"/>
          <w:szCs w:val="22"/>
        </w:rPr>
        <w:t xml:space="preserve">, </w:t>
      </w:r>
      <w:r w:rsidRPr="00E10DD2">
        <w:rPr>
          <w:rFonts w:ascii="Palatino Linotype" w:hAnsi="Palatino Linotype" w:cs="Arial"/>
          <w:color w:val="000000" w:themeColor="text1"/>
          <w:sz w:val="22"/>
          <w:szCs w:val="22"/>
        </w:rPr>
        <w:t>en el área de Recursos Humanos</w:t>
      </w:r>
      <w:r w:rsidR="00E10DD2" w:rsidRPr="00E10DD2">
        <w:rPr>
          <w:rFonts w:ascii="Palatino Linotype" w:hAnsi="Palatino Linotype" w:cs="Arial"/>
          <w:color w:val="000000" w:themeColor="text1"/>
          <w:sz w:val="22"/>
          <w:szCs w:val="22"/>
        </w:rPr>
        <w:t>.</w:t>
      </w:r>
    </w:p>
    <w:p w:rsidR="00E10DD2" w:rsidRPr="00E10DD2" w:rsidRDefault="00E10DD2" w:rsidP="00E10DD2">
      <w:pPr>
        <w:pStyle w:val="Prrafodelista"/>
        <w:widowControl w:val="0"/>
        <w:tabs>
          <w:tab w:val="left" w:pos="1276"/>
        </w:tabs>
        <w:autoSpaceDE w:val="0"/>
        <w:autoSpaceDN w:val="0"/>
        <w:adjustRightInd w:val="0"/>
        <w:ind w:left="0"/>
        <w:jc w:val="both"/>
        <w:rPr>
          <w:rFonts w:ascii="Palatino Linotype" w:hAnsi="Palatino Linotype" w:cs="Arial"/>
          <w:sz w:val="16"/>
          <w:szCs w:val="16"/>
        </w:rPr>
      </w:pPr>
    </w:p>
    <w:p w:rsidR="00882515" w:rsidRPr="00947EB3" w:rsidRDefault="00882515" w:rsidP="00882515">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r w:rsidRPr="00E10DD2">
        <w:rPr>
          <w:rFonts w:ascii="Palatino Linotype" w:hAnsi="Palatino Linotype" w:cs="Arial"/>
          <w:sz w:val="22"/>
          <w:szCs w:val="22"/>
        </w:rPr>
        <w:t xml:space="preserve">Finalmente, por cuanto a los salarios de mandos medios y superiores, </w:t>
      </w:r>
      <w:r w:rsidR="00E10DD2" w:rsidRPr="00E10DD2">
        <w:rPr>
          <w:rFonts w:ascii="Palatino Linotype" w:hAnsi="Palatino Linotype" w:cs="Arial"/>
          <w:sz w:val="22"/>
          <w:szCs w:val="22"/>
        </w:rPr>
        <w:t xml:space="preserve">el Sujeto Obligado </w:t>
      </w:r>
      <w:r w:rsidRPr="00E10DD2">
        <w:rPr>
          <w:rFonts w:ascii="Palatino Linotype" w:hAnsi="Palatino Linotype" w:cs="Arial"/>
          <w:sz w:val="22"/>
          <w:szCs w:val="22"/>
        </w:rPr>
        <w:t>respondió al particular con un listado donde se aprecian las categorías y los sueldos brutos correspondientes.</w:t>
      </w:r>
    </w:p>
    <w:p w:rsidR="00882515" w:rsidRDefault="00882515" w:rsidP="00D300AA">
      <w:pPr>
        <w:spacing w:before="120" w:after="120" w:line="360" w:lineRule="auto"/>
        <w:jc w:val="both"/>
        <w:rPr>
          <w:rFonts w:ascii="Palatino Linotype" w:hAnsi="Palatino Linotype" w:cs="Arial"/>
          <w:bCs/>
          <w:highlight w:val="yellow"/>
          <w:lang w:val="es-ES"/>
        </w:rPr>
      </w:pPr>
    </w:p>
    <w:p w:rsidR="00F71791" w:rsidRDefault="00314438" w:rsidP="00D300AA">
      <w:pPr>
        <w:spacing w:before="120" w:after="120" w:line="360" w:lineRule="auto"/>
        <w:jc w:val="both"/>
        <w:rPr>
          <w:rFonts w:ascii="Palatino Linotype" w:hAnsi="Palatino Linotype" w:cs="Arial"/>
        </w:rPr>
      </w:pPr>
      <w:r w:rsidRPr="0078458C">
        <w:rPr>
          <w:rFonts w:ascii="Palatino Linotype" w:hAnsi="Palatino Linotype" w:cs="Arial"/>
          <w:color w:val="000000" w:themeColor="text1"/>
        </w:rPr>
        <w:lastRenderedPageBreak/>
        <w:t>Ante la</w:t>
      </w:r>
      <w:r w:rsidR="00B63624" w:rsidRPr="0078458C">
        <w:rPr>
          <w:rFonts w:ascii="Palatino Linotype" w:hAnsi="Palatino Linotype" w:cs="Arial"/>
          <w:color w:val="000000" w:themeColor="text1"/>
        </w:rPr>
        <w:t xml:space="preserve"> </w:t>
      </w:r>
      <w:r w:rsidRPr="0078458C">
        <w:rPr>
          <w:rFonts w:ascii="Palatino Linotype" w:hAnsi="Palatino Linotype" w:cs="Arial"/>
          <w:color w:val="000000" w:themeColor="text1"/>
        </w:rPr>
        <w:t>respuesta,</w:t>
      </w:r>
      <w:r w:rsidR="002A5F7A" w:rsidRPr="0078458C">
        <w:rPr>
          <w:rFonts w:ascii="Palatino Linotype" w:hAnsi="Palatino Linotype" w:cs="Arial"/>
          <w:color w:val="000000" w:themeColor="text1"/>
        </w:rPr>
        <w:t xml:space="preserve"> </w:t>
      </w:r>
      <w:r w:rsidR="00B63624" w:rsidRPr="0078458C">
        <w:rPr>
          <w:rFonts w:ascii="Palatino Linotype" w:hAnsi="Palatino Linotype" w:cs="Arial"/>
          <w:color w:val="000000" w:themeColor="text1"/>
        </w:rPr>
        <w:t xml:space="preserve">el </w:t>
      </w:r>
      <w:r w:rsidRPr="0078458C">
        <w:rPr>
          <w:rFonts w:ascii="Palatino Linotype" w:hAnsi="Palatino Linotype" w:cs="Arial"/>
          <w:color w:val="000000" w:themeColor="text1"/>
        </w:rPr>
        <w:t>Recurrente</w:t>
      </w:r>
      <w:r w:rsidR="00D75967" w:rsidRPr="0078458C">
        <w:rPr>
          <w:rFonts w:ascii="Palatino Linotype" w:hAnsi="Palatino Linotype" w:cs="Arial"/>
          <w:color w:val="000000" w:themeColor="text1"/>
        </w:rPr>
        <w:t xml:space="preserve"> procedió a través de presente recurso de revisión, señalando s</w:t>
      </w:r>
      <w:r w:rsidR="00D75967" w:rsidRPr="0078458C">
        <w:rPr>
          <w:rFonts w:ascii="Palatino Linotype" w:hAnsi="Palatino Linotype" w:cs="Arial"/>
        </w:rPr>
        <w:t xml:space="preserve">ustancialmente como </w:t>
      </w:r>
      <w:r w:rsidR="00D75967" w:rsidRPr="0078458C">
        <w:rPr>
          <w:rFonts w:ascii="Palatino Linotype" w:hAnsi="Palatino Linotype" w:cs="Arial"/>
          <w:b/>
        </w:rPr>
        <w:t>motivo de inconformidad</w:t>
      </w:r>
      <w:r w:rsidR="00D75967" w:rsidRPr="0078458C">
        <w:rPr>
          <w:rFonts w:ascii="Palatino Linotype" w:hAnsi="Palatino Linotype" w:cs="Arial"/>
        </w:rPr>
        <w:t xml:space="preserve"> </w:t>
      </w:r>
      <w:r w:rsidR="0083304F">
        <w:rPr>
          <w:rFonts w:ascii="Palatino Linotype" w:hAnsi="Palatino Linotype" w:cs="Arial"/>
        </w:rPr>
        <w:t xml:space="preserve">que existe un total desconocimiento </w:t>
      </w:r>
      <w:r w:rsidR="0083304F" w:rsidRPr="0083304F">
        <w:rPr>
          <w:rFonts w:ascii="Palatino Linotype" w:hAnsi="Palatino Linotype" w:cs="Arial"/>
        </w:rPr>
        <w:t xml:space="preserve">por parte del servidor público habilitado y del </w:t>
      </w:r>
      <w:r w:rsidR="0008649F">
        <w:rPr>
          <w:rFonts w:ascii="Palatino Linotype" w:hAnsi="Palatino Linotype" w:cs="Arial"/>
        </w:rPr>
        <w:t>T</w:t>
      </w:r>
      <w:r w:rsidR="0083304F" w:rsidRPr="0083304F">
        <w:rPr>
          <w:rFonts w:ascii="Palatino Linotype" w:hAnsi="Palatino Linotype" w:cs="Arial"/>
        </w:rPr>
        <w:t>itular de la unidad de transparencia</w:t>
      </w:r>
      <w:r w:rsidR="0083304F">
        <w:rPr>
          <w:rFonts w:ascii="Palatino Linotype" w:hAnsi="Palatino Linotype" w:cs="Arial"/>
        </w:rPr>
        <w:t xml:space="preserve"> del Sujeto Obligado, por lo que reiteró su solicitud de información y como </w:t>
      </w:r>
      <w:r w:rsidR="0083304F" w:rsidRPr="0083304F">
        <w:rPr>
          <w:rFonts w:ascii="Palatino Linotype" w:hAnsi="Palatino Linotype" w:cs="Arial"/>
          <w:b/>
        </w:rPr>
        <w:t>motivo de inconformidad</w:t>
      </w:r>
      <w:r w:rsidR="0083304F">
        <w:rPr>
          <w:rFonts w:ascii="Palatino Linotype" w:hAnsi="Palatino Linotype" w:cs="Arial"/>
          <w:b/>
        </w:rPr>
        <w:t xml:space="preserve"> </w:t>
      </w:r>
      <w:r w:rsidR="0083304F" w:rsidRPr="0083304F">
        <w:rPr>
          <w:rFonts w:ascii="Palatino Linotype" w:hAnsi="Palatino Linotype" w:cs="Arial"/>
        </w:rPr>
        <w:t>que no se brindó la información requerida; que los currículos deben hacerlo en versión pública y no lo hicieron.</w:t>
      </w:r>
    </w:p>
    <w:p w:rsidR="00B20563" w:rsidRDefault="00B20563" w:rsidP="00D300AA">
      <w:pPr>
        <w:spacing w:before="120" w:after="120" w:line="360" w:lineRule="auto"/>
        <w:jc w:val="both"/>
        <w:rPr>
          <w:rFonts w:ascii="Palatino Linotype" w:hAnsi="Palatino Linotype" w:cs="Arial"/>
        </w:rPr>
      </w:pPr>
      <w:r>
        <w:rPr>
          <w:rFonts w:ascii="Palatino Linotype" w:hAnsi="Palatino Linotype" w:cs="Arial"/>
        </w:rPr>
        <w:t xml:space="preserve">Posteriormente, el Recurrente en vía de </w:t>
      </w:r>
      <w:r w:rsidR="00B65705">
        <w:rPr>
          <w:rFonts w:ascii="Palatino Linotype" w:hAnsi="Palatino Linotype" w:cs="Arial"/>
        </w:rPr>
        <w:t xml:space="preserve">alegatos </w:t>
      </w:r>
      <w:r w:rsidR="007D2562">
        <w:rPr>
          <w:rFonts w:ascii="Palatino Linotype" w:hAnsi="Palatino Linotype" w:cs="Arial"/>
        </w:rPr>
        <w:t xml:space="preserve">manifestó </w:t>
      </w:r>
      <w:r>
        <w:rPr>
          <w:rFonts w:ascii="Palatino Linotype" w:hAnsi="Palatino Linotype" w:cs="Arial"/>
        </w:rPr>
        <w:t xml:space="preserve">la necesidad de que se revisen los pliegos de observaciones y recomendaciones del OSFEM del año 2018, donde se señala puntualmente la información requerida y adjuntó un archivo electrónico que consiste en el </w:t>
      </w:r>
      <w:r w:rsidRPr="00B20563">
        <w:rPr>
          <w:rFonts w:ascii="Palatino Linotype" w:hAnsi="Palatino Linotype" w:cs="Arial"/>
        </w:rPr>
        <w:t>Periódico Oficial del Gobierno del Estado de México “Gaceta del Gobierno”, de fecha 2 de agosto de 2018, en el que se publicaron los Lineamientos que Regulan la Entrega-Recepción de la Administración Pública Municipal del Estado de México.</w:t>
      </w:r>
      <w:r>
        <w:rPr>
          <w:rFonts w:ascii="Palatino Linotype" w:hAnsi="Palatino Linotype" w:cs="Arial"/>
        </w:rPr>
        <w:t xml:space="preserve"> </w:t>
      </w:r>
    </w:p>
    <w:p w:rsidR="009A5337" w:rsidRDefault="00314438" w:rsidP="000642D8">
      <w:pPr>
        <w:spacing w:before="120" w:after="120" w:line="360" w:lineRule="auto"/>
        <w:jc w:val="both"/>
        <w:rPr>
          <w:rFonts w:ascii="Palatino Linotype" w:hAnsi="Palatino Linotype" w:cs="Arial"/>
        </w:rPr>
      </w:pPr>
      <w:r w:rsidRPr="0078458C">
        <w:rPr>
          <w:rFonts w:ascii="Palatino Linotype" w:hAnsi="Palatino Linotype" w:cs="Arial"/>
        </w:rPr>
        <w:t xml:space="preserve">Al respecto, el Sujeto Obligado </w:t>
      </w:r>
      <w:r w:rsidR="00FC52EC" w:rsidRPr="0078458C">
        <w:rPr>
          <w:rFonts w:ascii="Palatino Linotype" w:hAnsi="Palatino Linotype" w:cs="Arial"/>
        </w:rPr>
        <w:t xml:space="preserve">rindió su informe justificado </w:t>
      </w:r>
      <w:r w:rsidR="009A5337">
        <w:rPr>
          <w:rFonts w:ascii="Palatino Linotype" w:hAnsi="Palatino Linotype" w:cs="Arial"/>
        </w:rPr>
        <w:t>en el que sustancialmente reiteró su respuesta, por lo que no fue puesto a disposición del Recurrente.</w:t>
      </w:r>
    </w:p>
    <w:p w:rsidR="00FD0D0B" w:rsidRDefault="00FC52EC" w:rsidP="009A5337">
      <w:pPr>
        <w:spacing w:before="120" w:after="120" w:line="360" w:lineRule="auto"/>
        <w:jc w:val="both"/>
        <w:rPr>
          <w:rFonts w:ascii="Palatino Linotype" w:eastAsia="MS Mincho" w:hAnsi="Palatino Linotype" w:cs="Times New Roman"/>
          <w:lang w:val="es-ES" w:eastAsia="es-ES"/>
        </w:rPr>
      </w:pPr>
      <w:r w:rsidRPr="00E97CC5">
        <w:rPr>
          <w:rFonts w:ascii="Palatino Linotype" w:hAnsi="Palatino Linotype" w:cs="Arial"/>
          <w:lang w:val="es-ES_tradnl"/>
        </w:rPr>
        <w:t xml:space="preserve">Por su parte, la </w:t>
      </w:r>
      <w:r w:rsidR="00314438" w:rsidRPr="00E97CC5">
        <w:rPr>
          <w:rFonts w:ascii="Palatino Linotype" w:hAnsi="Palatino Linotype" w:cs="Arial"/>
          <w:lang w:val="es-ES_tradnl"/>
        </w:rPr>
        <w:t>Ponencia resolutora</w:t>
      </w:r>
      <w:r w:rsidRPr="00E97CC5">
        <w:rPr>
          <w:rFonts w:ascii="Palatino Linotype" w:hAnsi="Palatino Linotype" w:cs="Arial"/>
          <w:lang w:val="es-ES_tradnl"/>
        </w:rPr>
        <w:t xml:space="preserve"> </w:t>
      </w:r>
      <w:r w:rsidR="00293C24" w:rsidRPr="00E97CC5">
        <w:rPr>
          <w:rFonts w:ascii="Palatino Linotype" w:eastAsia="MS Mincho" w:hAnsi="Palatino Linotype" w:cs="Times New Roman"/>
          <w:lang w:val="es-ES" w:eastAsia="es-ES"/>
        </w:rPr>
        <w:t xml:space="preserve">analizó </w:t>
      </w:r>
      <w:r w:rsidR="000056CF" w:rsidRPr="00E97CC5">
        <w:rPr>
          <w:rFonts w:ascii="Palatino Linotype" w:eastAsia="MS Mincho" w:hAnsi="Palatino Linotype" w:cs="Times New Roman"/>
          <w:lang w:val="es-ES" w:eastAsia="es-ES"/>
        </w:rPr>
        <w:t xml:space="preserve">todos y cada uno de </w:t>
      </w:r>
      <w:r w:rsidR="00293C24" w:rsidRPr="00E97CC5">
        <w:rPr>
          <w:rFonts w:ascii="Palatino Linotype" w:eastAsia="MS Mincho" w:hAnsi="Palatino Linotype" w:cs="Times New Roman"/>
          <w:lang w:val="es-ES" w:eastAsia="es-ES"/>
        </w:rPr>
        <w:t>los requerimientos del</w:t>
      </w:r>
      <w:r w:rsidR="00293C24">
        <w:rPr>
          <w:rFonts w:ascii="Palatino Linotype" w:eastAsia="MS Mincho" w:hAnsi="Palatino Linotype" w:cs="Times New Roman"/>
          <w:lang w:val="es-ES" w:eastAsia="es-ES"/>
        </w:rPr>
        <w:t xml:space="preserve"> particular</w:t>
      </w:r>
      <w:r w:rsidR="000056CF">
        <w:rPr>
          <w:rFonts w:ascii="Palatino Linotype" w:eastAsia="MS Mincho" w:hAnsi="Palatino Linotype" w:cs="Times New Roman"/>
          <w:lang w:val="es-ES" w:eastAsia="es-ES"/>
        </w:rPr>
        <w:t xml:space="preserve"> conforme a la normatividad aplicable al Sujeto Obligado,</w:t>
      </w:r>
      <w:r w:rsidR="00895F2C">
        <w:rPr>
          <w:rFonts w:ascii="Palatino Linotype" w:eastAsia="MS Mincho" w:hAnsi="Palatino Linotype" w:cs="Times New Roman"/>
          <w:lang w:val="es-ES" w:eastAsia="es-ES"/>
        </w:rPr>
        <w:t xml:space="preserve"> </w:t>
      </w:r>
      <w:r w:rsidR="00E476A5">
        <w:rPr>
          <w:rFonts w:ascii="Palatino Linotype" w:eastAsia="MS Mincho" w:hAnsi="Palatino Linotype" w:cs="Times New Roman"/>
          <w:lang w:val="es-ES" w:eastAsia="es-ES"/>
        </w:rPr>
        <w:t xml:space="preserve">estudio con el cual </w:t>
      </w:r>
      <w:r w:rsidR="00895F2C">
        <w:rPr>
          <w:rFonts w:ascii="Palatino Linotype" w:eastAsia="MS Mincho" w:hAnsi="Palatino Linotype" w:cs="Times New Roman"/>
          <w:lang w:val="es-ES" w:eastAsia="es-ES"/>
        </w:rPr>
        <w:t xml:space="preserve">determinó la información </w:t>
      </w:r>
      <w:r w:rsidR="00E476A5">
        <w:rPr>
          <w:rFonts w:ascii="Palatino Linotype" w:eastAsia="MS Mincho" w:hAnsi="Palatino Linotype" w:cs="Times New Roman"/>
          <w:lang w:val="es-ES" w:eastAsia="es-ES"/>
        </w:rPr>
        <w:t xml:space="preserve">procedente para otorgar satisfacción al derecho de acceso a la información del particular en </w:t>
      </w:r>
      <w:r w:rsidR="00FD0D0B">
        <w:rPr>
          <w:rFonts w:ascii="Palatino Linotype" w:eastAsia="MS Mincho" w:hAnsi="Palatino Linotype" w:cs="Times New Roman"/>
          <w:lang w:val="es-ES" w:eastAsia="es-ES"/>
        </w:rPr>
        <w:t xml:space="preserve">términos del resolutivo SEGUNDO de la resolución conforme a los siguiente: </w:t>
      </w:r>
    </w:p>
    <w:p w:rsidR="00FD0D0B" w:rsidRPr="00FD0D0B" w:rsidRDefault="00FD0D0B" w:rsidP="00E97CC5">
      <w:pPr>
        <w:widowControl w:val="0"/>
        <w:tabs>
          <w:tab w:val="left" w:pos="1701"/>
          <w:tab w:val="left" w:pos="8222"/>
          <w:tab w:val="left" w:pos="8505"/>
        </w:tabs>
        <w:autoSpaceDE w:val="0"/>
        <w:autoSpaceDN w:val="0"/>
        <w:adjustRightInd w:val="0"/>
        <w:spacing w:before="240" w:after="100" w:afterAutospacing="1" w:line="360" w:lineRule="auto"/>
        <w:ind w:left="284" w:right="423"/>
        <w:jc w:val="both"/>
        <w:rPr>
          <w:rFonts w:ascii="Palatino Linotype" w:eastAsia="Times New Roman" w:hAnsi="Palatino Linotype" w:cs="Times New Roman"/>
          <w:sz w:val="24"/>
          <w:szCs w:val="24"/>
          <w:lang w:eastAsia="es-ES"/>
        </w:rPr>
      </w:pPr>
      <w:r w:rsidRPr="00FD0D0B">
        <w:rPr>
          <w:rFonts w:ascii="Palatino Linotype" w:eastAsia="Times New Roman" w:hAnsi="Palatino Linotype" w:cs="Arial"/>
          <w:sz w:val="24"/>
          <w:szCs w:val="24"/>
          <w:lang w:eastAsia="es-ES"/>
        </w:rPr>
        <w:t>“</w:t>
      </w:r>
      <w:r w:rsidRPr="00FD0D0B">
        <w:rPr>
          <w:rFonts w:ascii="Palatino Linotype" w:eastAsia="Times New Roman" w:hAnsi="Palatino Linotype" w:cs="Arial"/>
          <w:b/>
          <w:sz w:val="24"/>
          <w:szCs w:val="24"/>
          <w:lang w:eastAsia="es-ES"/>
        </w:rPr>
        <w:t>SEGUNDO.</w:t>
      </w:r>
      <w:r>
        <w:rPr>
          <w:rFonts w:ascii="Palatino Linotype" w:eastAsia="Times New Roman" w:hAnsi="Palatino Linotype" w:cs="Arial"/>
          <w:sz w:val="24"/>
          <w:szCs w:val="24"/>
          <w:lang w:eastAsia="es-ES"/>
        </w:rPr>
        <w:t xml:space="preserve"> </w:t>
      </w:r>
      <w:r w:rsidRPr="00FD0D0B">
        <w:rPr>
          <w:rFonts w:ascii="Palatino Linotype" w:eastAsia="Times New Roman" w:hAnsi="Palatino Linotype" w:cs="Arial"/>
          <w:sz w:val="24"/>
          <w:szCs w:val="24"/>
          <w:lang w:eastAsia="es-ES"/>
        </w:rPr>
        <w:t xml:space="preserve">Se </w:t>
      </w:r>
      <w:r w:rsidRPr="00FD0D0B">
        <w:rPr>
          <w:rFonts w:ascii="Palatino Linotype" w:eastAsia="Times New Roman" w:hAnsi="Palatino Linotype" w:cs="Arial"/>
          <w:b/>
          <w:sz w:val="24"/>
          <w:szCs w:val="24"/>
          <w:lang w:eastAsia="es-ES"/>
        </w:rPr>
        <w:t xml:space="preserve">MODIFICA </w:t>
      </w:r>
      <w:r w:rsidRPr="00FD0D0B">
        <w:rPr>
          <w:rFonts w:ascii="Palatino Linotype" w:eastAsia="Times New Roman" w:hAnsi="Palatino Linotype" w:cs="Arial"/>
          <w:sz w:val="24"/>
          <w:szCs w:val="24"/>
          <w:lang w:eastAsia="es-ES"/>
        </w:rPr>
        <w:t xml:space="preserve">la respuesta del </w:t>
      </w:r>
      <w:r w:rsidRPr="00FD0D0B">
        <w:rPr>
          <w:rFonts w:ascii="Palatino Linotype" w:eastAsia="Times New Roman" w:hAnsi="Palatino Linotype" w:cs="Arial"/>
          <w:b/>
          <w:sz w:val="24"/>
          <w:szCs w:val="24"/>
          <w:lang w:eastAsia="es-ES"/>
        </w:rPr>
        <w:t>SUJETO OBLIGADO</w:t>
      </w:r>
      <w:r w:rsidRPr="00FD0D0B">
        <w:rPr>
          <w:rFonts w:ascii="Palatino Linotype" w:eastAsia="Times New Roman" w:hAnsi="Palatino Linotype" w:cs="Arial"/>
          <w:sz w:val="24"/>
          <w:szCs w:val="24"/>
          <w:lang w:eastAsia="es-ES"/>
        </w:rPr>
        <w:t xml:space="preserve"> y se </w:t>
      </w:r>
      <w:r w:rsidRPr="00FD0D0B">
        <w:rPr>
          <w:rFonts w:ascii="Palatino Linotype" w:eastAsia="Times New Roman" w:hAnsi="Palatino Linotype" w:cs="Arial"/>
          <w:b/>
          <w:sz w:val="24"/>
          <w:szCs w:val="24"/>
          <w:lang w:eastAsia="es-ES"/>
        </w:rPr>
        <w:t>ordena</w:t>
      </w:r>
      <w:r w:rsidRPr="00FD0D0B">
        <w:rPr>
          <w:rFonts w:ascii="Palatino Linotype" w:eastAsia="Times New Roman" w:hAnsi="Palatino Linotype" w:cs="Arial"/>
          <w:sz w:val="24"/>
          <w:szCs w:val="24"/>
          <w:lang w:eastAsia="es-ES"/>
        </w:rPr>
        <w:t xml:space="preserve"> atienda la solicitud de información pública </w:t>
      </w:r>
      <w:r w:rsidRPr="00FD0D0B">
        <w:rPr>
          <w:rFonts w:ascii="Palatino Linotype" w:eastAsia="Times New Roman" w:hAnsi="Palatino Linotype" w:cs="Arial"/>
          <w:b/>
          <w:bCs/>
          <w:sz w:val="24"/>
          <w:szCs w:val="24"/>
          <w:lang w:eastAsia="es-ES"/>
        </w:rPr>
        <w:t xml:space="preserve">00001/OASTOL/IP/2019 </w:t>
      </w:r>
      <w:r w:rsidRPr="00FD0D0B">
        <w:rPr>
          <w:rFonts w:ascii="Palatino Linotype" w:eastAsia="Times New Roman" w:hAnsi="Palatino Linotype" w:cs="Arial"/>
          <w:sz w:val="24"/>
          <w:szCs w:val="24"/>
          <w:lang w:eastAsia="es-ES"/>
        </w:rPr>
        <w:t xml:space="preserve">y haga entrega al </w:t>
      </w:r>
      <w:r w:rsidRPr="00FD0D0B">
        <w:rPr>
          <w:rFonts w:ascii="Palatino Linotype" w:eastAsia="Times New Roman" w:hAnsi="Palatino Linotype" w:cs="Arial"/>
          <w:b/>
          <w:sz w:val="24"/>
          <w:szCs w:val="24"/>
          <w:lang w:eastAsia="es-ES"/>
        </w:rPr>
        <w:t>RECURRENTE</w:t>
      </w:r>
      <w:r w:rsidRPr="00FD0D0B">
        <w:rPr>
          <w:rFonts w:ascii="Palatino Linotype" w:eastAsia="Times New Roman" w:hAnsi="Palatino Linotype" w:cs="Arial"/>
          <w:sz w:val="24"/>
          <w:szCs w:val="24"/>
          <w:lang w:eastAsia="es-ES"/>
        </w:rPr>
        <w:t xml:space="preserve">, de ser procedente en </w:t>
      </w:r>
      <w:r w:rsidRPr="00FD0D0B">
        <w:rPr>
          <w:rFonts w:ascii="Palatino Linotype" w:eastAsia="Times New Roman" w:hAnsi="Palatino Linotype" w:cs="Arial"/>
          <w:b/>
          <w:sz w:val="24"/>
          <w:szCs w:val="24"/>
          <w:lang w:eastAsia="es-ES"/>
        </w:rPr>
        <w:t>versión pública</w:t>
      </w:r>
      <w:r w:rsidRPr="00FD0D0B">
        <w:rPr>
          <w:rFonts w:ascii="Palatino Linotype" w:eastAsia="Times New Roman" w:hAnsi="Palatino Linotype" w:cs="Arial"/>
          <w:sz w:val="24"/>
          <w:szCs w:val="24"/>
          <w:lang w:eastAsia="es-ES"/>
        </w:rPr>
        <w:t xml:space="preserve">, vía </w:t>
      </w:r>
      <w:r w:rsidRPr="00FD0D0B">
        <w:rPr>
          <w:rFonts w:ascii="Palatino Linotype" w:eastAsia="Times New Roman" w:hAnsi="Palatino Linotype" w:cs="Arial"/>
          <w:b/>
          <w:sz w:val="24"/>
          <w:szCs w:val="24"/>
          <w:lang w:eastAsia="es-ES"/>
        </w:rPr>
        <w:t>EL</w:t>
      </w:r>
      <w:r w:rsidRPr="00FD0D0B">
        <w:rPr>
          <w:rFonts w:ascii="Palatino Linotype" w:eastAsia="Times New Roman" w:hAnsi="Palatino Linotype" w:cs="Arial"/>
          <w:sz w:val="24"/>
          <w:szCs w:val="24"/>
          <w:lang w:eastAsia="es-ES"/>
        </w:rPr>
        <w:t xml:space="preserve"> </w:t>
      </w:r>
      <w:r w:rsidRPr="00FD0D0B">
        <w:rPr>
          <w:rFonts w:ascii="Palatino Linotype" w:eastAsia="Times New Roman" w:hAnsi="Palatino Linotype" w:cs="Arial"/>
          <w:b/>
          <w:sz w:val="24"/>
          <w:szCs w:val="24"/>
          <w:lang w:eastAsia="es-ES"/>
        </w:rPr>
        <w:t>SAIMEX</w:t>
      </w:r>
      <w:r w:rsidRPr="00FD0D0B">
        <w:rPr>
          <w:rFonts w:ascii="Palatino Linotype" w:eastAsia="Times New Roman" w:hAnsi="Palatino Linotype" w:cs="Arial"/>
          <w:sz w:val="24"/>
          <w:szCs w:val="24"/>
          <w:lang w:eastAsia="es-ES"/>
        </w:rPr>
        <w:t xml:space="preserve">, en </w:t>
      </w:r>
      <w:r w:rsidRPr="00FD0D0B">
        <w:rPr>
          <w:rFonts w:ascii="Palatino Linotype" w:eastAsia="Times New Roman" w:hAnsi="Palatino Linotype" w:cs="Times New Roman"/>
          <w:sz w:val="24"/>
          <w:szCs w:val="17"/>
          <w:lang w:eastAsia="es-ES_tradnl"/>
        </w:rPr>
        <w:t>términos</w:t>
      </w:r>
      <w:r w:rsidRPr="00FD0D0B">
        <w:rPr>
          <w:rFonts w:ascii="Palatino Linotype" w:eastAsia="Times New Roman" w:hAnsi="Palatino Linotype" w:cs="Arial"/>
          <w:sz w:val="24"/>
          <w:szCs w:val="24"/>
          <w:lang w:eastAsia="es-ES"/>
        </w:rPr>
        <w:t xml:space="preserve"> del Considerando </w:t>
      </w:r>
      <w:r w:rsidRPr="00FD0D0B">
        <w:rPr>
          <w:rFonts w:ascii="Palatino Linotype" w:eastAsia="Times New Roman" w:hAnsi="Palatino Linotype" w:cs="Arial"/>
          <w:b/>
          <w:sz w:val="24"/>
          <w:szCs w:val="24"/>
          <w:lang w:eastAsia="es-ES"/>
        </w:rPr>
        <w:t>QUINTO</w:t>
      </w:r>
      <w:r w:rsidRPr="00FD0D0B">
        <w:rPr>
          <w:rFonts w:ascii="Palatino Linotype" w:eastAsia="Times New Roman" w:hAnsi="Palatino Linotype" w:cs="Arial"/>
          <w:sz w:val="24"/>
          <w:szCs w:val="24"/>
          <w:lang w:eastAsia="es-ES"/>
        </w:rPr>
        <w:t xml:space="preserve"> </w:t>
      </w:r>
      <w:r w:rsidRPr="00FD0D0B">
        <w:rPr>
          <w:rFonts w:ascii="Palatino Linotype" w:eastAsia="Times New Roman" w:hAnsi="Palatino Linotype" w:cs="Times New Roman"/>
          <w:sz w:val="24"/>
          <w:szCs w:val="24"/>
          <w:lang w:eastAsia="es-ES"/>
        </w:rPr>
        <w:t xml:space="preserve">de la presente resolución, </w:t>
      </w:r>
      <w:r w:rsidRPr="00FD0D0B">
        <w:rPr>
          <w:rFonts w:ascii="Palatino Linotype" w:eastAsia="Times New Roman" w:hAnsi="Palatino Linotype" w:cs="Times New Roman"/>
          <w:sz w:val="24"/>
          <w:szCs w:val="24"/>
          <w:lang w:eastAsia="es-ES"/>
        </w:rPr>
        <w:lastRenderedPageBreak/>
        <w:t>de la siguiente información:</w:t>
      </w:r>
    </w:p>
    <w:p w:rsidR="00FD0D0B" w:rsidRPr="00FD0D0B" w:rsidRDefault="00FD0D0B" w:rsidP="00E97CC5">
      <w:pPr>
        <w:tabs>
          <w:tab w:val="left" w:pos="8222"/>
          <w:tab w:val="left" w:pos="8505"/>
        </w:tabs>
        <w:spacing w:before="100" w:beforeAutospacing="1" w:after="100" w:afterAutospacing="1" w:line="240" w:lineRule="auto"/>
        <w:ind w:left="284" w:right="423" w:hanging="142"/>
        <w:jc w:val="both"/>
        <w:rPr>
          <w:rFonts w:ascii="Palatino Linotype" w:eastAsia="Times New Roman" w:hAnsi="Palatino Linotype" w:cs="Times New Roman"/>
          <w:i/>
          <w:iCs/>
          <w:color w:val="222222"/>
          <w:lang w:eastAsia="es-MX"/>
        </w:rPr>
      </w:pPr>
      <w:r w:rsidRPr="00FD0D0B">
        <w:rPr>
          <w:rFonts w:ascii="Palatino Linotype" w:eastAsia="Times New Roman" w:hAnsi="Palatino Linotype" w:cs="Times New Roman"/>
          <w:i/>
          <w:iCs/>
          <w:color w:val="222222"/>
          <w:lang w:eastAsia="es-MX"/>
        </w:rPr>
        <w:t>“a)</w:t>
      </w:r>
      <w:r w:rsidRPr="00FD0D0B">
        <w:rPr>
          <w:rFonts w:ascii="Times New Roman" w:eastAsia="Times New Roman" w:hAnsi="Times New Roman" w:cs="Times New Roman"/>
          <w:sz w:val="24"/>
          <w:szCs w:val="24"/>
          <w:lang w:eastAsia="es-ES"/>
        </w:rPr>
        <w:t xml:space="preserve"> </w:t>
      </w:r>
      <w:r w:rsidRPr="00FD0D0B">
        <w:rPr>
          <w:rFonts w:ascii="Palatino Linotype" w:eastAsia="Times New Roman" w:hAnsi="Palatino Linotype" w:cs="Times New Roman"/>
          <w:i/>
          <w:iCs/>
          <w:color w:val="222222"/>
          <w:lang w:eastAsia="es-MX"/>
        </w:rPr>
        <w:t xml:space="preserve">El título profesional y el documento o documentos que acrediten la experiencia mínima de un año del Director de Administración y Finanzas adscrito al 14 de enero de 2019; para el caso de no poseer o administrar la información, deberá hacerlo del conocimiento del </w:t>
      </w:r>
      <w:r w:rsidRPr="00FD0D0B">
        <w:rPr>
          <w:rFonts w:ascii="Palatino Linotype" w:eastAsia="Times New Roman" w:hAnsi="Palatino Linotype" w:cs="Times New Roman"/>
          <w:b/>
          <w:i/>
          <w:iCs/>
          <w:color w:val="222222"/>
          <w:lang w:eastAsia="es-MX"/>
        </w:rPr>
        <w:t>RECURRENTE.</w:t>
      </w:r>
    </w:p>
    <w:p w:rsidR="00FD0D0B" w:rsidRPr="00FD0D0B" w:rsidRDefault="00FD0D0B" w:rsidP="00E97CC5">
      <w:pPr>
        <w:tabs>
          <w:tab w:val="left" w:pos="8222"/>
          <w:tab w:val="left" w:pos="8505"/>
        </w:tabs>
        <w:spacing w:before="100" w:beforeAutospacing="1" w:after="100" w:afterAutospacing="1" w:line="240" w:lineRule="auto"/>
        <w:ind w:left="284" w:right="423"/>
        <w:jc w:val="both"/>
        <w:rPr>
          <w:rFonts w:ascii="Palatino Linotype" w:eastAsia="Times New Roman" w:hAnsi="Palatino Linotype" w:cs="Times New Roman"/>
          <w:i/>
          <w:iCs/>
          <w:color w:val="222222"/>
          <w:lang w:eastAsia="es-MX"/>
        </w:rPr>
      </w:pPr>
      <w:r w:rsidRPr="00FD0D0B">
        <w:rPr>
          <w:rFonts w:ascii="Palatino Linotype" w:eastAsia="Times New Roman" w:hAnsi="Palatino Linotype" w:cs="Times New Roman"/>
          <w:i/>
          <w:iCs/>
          <w:color w:val="222222"/>
          <w:lang w:eastAsia="es-MX"/>
        </w:rPr>
        <w:t xml:space="preserve">b) El título profesional y el documento o documentos que acrediten la experiencia mínima de un año del Titular de la Contraloría Interna del </w:t>
      </w:r>
      <w:r w:rsidRPr="00FD0D0B">
        <w:rPr>
          <w:rFonts w:ascii="Palatino Linotype" w:eastAsia="Times New Roman" w:hAnsi="Palatino Linotype" w:cs="Times New Roman"/>
          <w:b/>
          <w:i/>
          <w:iCs/>
          <w:color w:val="222222"/>
          <w:lang w:eastAsia="es-MX"/>
        </w:rPr>
        <w:t xml:space="preserve">SUJETO OBLIGADO </w:t>
      </w:r>
      <w:r w:rsidRPr="00FD0D0B">
        <w:rPr>
          <w:rFonts w:ascii="Palatino Linotype" w:eastAsia="Times New Roman" w:hAnsi="Palatino Linotype" w:cs="Times New Roman"/>
          <w:i/>
          <w:iCs/>
          <w:color w:val="222222"/>
          <w:lang w:eastAsia="es-MX"/>
        </w:rPr>
        <w:t xml:space="preserve">adscrito al 14 de enero de 2019; para el caso de no poseer o administrar el título profesional, deberá hacerlo del conocimiento del </w:t>
      </w:r>
      <w:r w:rsidRPr="00FD0D0B">
        <w:rPr>
          <w:rFonts w:ascii="Palatino Linotype" w:eastAsia="Times New Roman" w:hAnsi="Palatino Linotype" w:cs="Times New Roman"/>
          <w:b/>
          <w:i/>
          <w:iCs/>
          <w:color w:val="222222"/>
          <w:lang w:eastAsia="es-MX"/>
        </w:rPr>
        <w:t>RECURRENTE</w:t>
      </w:r>
      <w:r w:rsidRPr="00FD0D0B">
        <w:rPr>
          <w:rFonts w:ascii="Palatino Linotype" w:eastAsia="Times New Roman" w:hAnsi="Palatino Linotype" w:cs="Times New Roman"/>
          <w:i/>
          <w:iCs/>
          <w:color w:val="222222"/>
          <w:lang w:eastAsia="es-MX"/>
        </w:rPr>
        <w:t>.</w:t>
      </w:r>
    </w:p>
    <w:p w:rsidR="00FD0D0B" w:rsidRPr="00FD0D0B" w:rsidRDefault="00FD0D0B" w:rsidP="00E97CC5">
      <w:pPr>
        <w:tabs>
          <w:tab w:val="left" w:pos="8222"/>
          <w:tab w:val="left" w:pos="8505"/>
        </w:tabs>
        <w:spacing w:before="100" w:beforeAutospacing="1" w:after="100" w:afterAutospacing="1" w:line="240" w:lineRule="auto"/>
        <w:ind w:left="284" w:right="423"/>
        <w:jc w:val="both"/>
        <w:rPr>
          <w:rFonts w:ascii="Palatino Linotype" w:eastAsia="Times New Roman" w:hAnsi="Palatino Linotype" w:cs="Times New Roman"/>
          <w:i/>
          <w:iCs/>
          <w:color w:val="222222"/>
          <w:lang w:eastAsia="es-MX"/>
        </w:rPr>
      </w:pPr>
      <w:r w:rsidRPr="00FD0D0B">
        <w:rPr>
          <w:rFonts w:ascii="Palatino Linotype" w:eastAsia="Times New Roman" w:hAnsi="Palatino Linotype" w:cs="Times New Roman"/>
          <w:i/>
          <w:iCs/>
          <w:color w:val="222222"/>
          <w:lang w:eastAsia="es-MX"/>
        </w:rPr>
        <w:t xml:space="preserve">c) El certificado de no antecedentes penales del Director de Administración y Finanzas y del Titular de la Contraloría Interna del </w:t>
      </w:r>
      <w:r w:rsidRPr="00FD0D0B">
        <w:rPr>
          <w:rFonts w:ascii="Palatino Linotype" w:eastAsia="Times New Roman" w:hAnsi="Palatino Linotype" w:cs="Times New Roman"/>
          <w:b/>
          <w:i/>
          <w:iCs/>
          <w:color w:val="222222"/>
          <w:lang w:eastAsia="es-MX"/>
        </w:rPr>
        <w:t xml:space="preserve">SUJETO OBLIGADO, </w:t>
      </w:r>
      <w:r w:rsidRPr="00FD0D0B">
        <w:rPr>
          <w:rFonts w:ascii="Palatino Linotype" w:eastAsia="Times New Roman" w:hAnsi="Palatino Linotype" w:cs="Times New Roman"/>
          <w:i/>
          <w:iCs/>
          <w:color w:val="222222"/>
          <w:lang w:eastAsia="es-MX"/>
        </w:rPr>
        <w:t>adscritos al 14 de enero de 2019</w:t>
      </w:r>
      <w:r w:rsidRPr="00FD0D0B">
        <w:rPr>
          <w:rFonts w:ascii="Palatino Linotype" w:eastAsia="Times New Roman" w:hAnsi="Palatino Linotype" w:cs="Times New Roman"/>
          <w:b/>
          <w:i/>
          <w:iCs/>
          <w:color w:val="222222"/>
          <w:lang w:eastAsia="es-MX"/>
        </w:rPr>
        <w:t>;</w:t>
      </w:r>
    </w:p>
    <w:p w:rsidR="00FD0D0B" w:rsidRPr="00FD0D0B" w:rsidRDefault="00FD0D0B" w:rsidP="00E97CC5">
      <w:pPr>
        <w:tabs>
          <w:tab w:val="left" w:pos="8222"/>
          <w:tab w:val="left" w:pos="8505"/>
        </w:tabs>
        <w:spacing w:before="100" w:beforeAutospacing="1" w:after="100" w:afterAutospacing="1" w:line="240" w:lineRule="auto"/>
        <w:ind w:left="284" w:right="423"/>
        <w:jc w:val="both"/>
        <w:rPr>
          <w:rFonts w:ascii="Palatino Linotype" w:eastAsia="Times New Roman" w:hAnsi="Palatino Linotype" w:cs="Times New Roman"/>
          <w:sz w:val="24"/>
          <w:szCs w:val="24"/>
          <w:lang w:val="es-ES" w:eastAsia="es-ES"/>
        </w:rPr>
      </w:pPr>
      <w:r w:rsidRPr="00FD0D0B">
        <w:rPr>
          <w:rFonts w:ascii="Palatino Linotype" w:eastAsia="Times New Roman" w:hAnsi="Palatino Linotype" w:cs="Times New Roman"/>
          <w:i/>
          <w:iCs/>
          <w:color w:val="222222"/>
          <w:lang w:eastAsia="es-MX"/>
        </w:rPr>
        <w:t>d) Los nombramientos de los mandos medios y superiores, emitidos del 1 al 14 de enero de 2019; y,</w:t>
      </w:r>
    </w:p>
    <w:p w:rsidR="00FD0D0B" w:rsidRPr="00FD0D0B" w:rsidRDefault="00FD0D0B" w:rsidP="00E97CC5">
      <w:pPr>
        <w:tabs>
          <w:tab w:val="left" w:pos="8222"/>
          <w:tab w:val="left" w:pos="8505"/>
        </w:tabs>
        <w:spacing w:before="100" w:beforeAutospacing="1" w:after="100" w:afterAutospacing="1" w:line="240" w:lineRule="auto"/>
        <w:ind w:left="284" w:right="423"/>
        <w:jc w:val="both"/>
        <w:rPr>
          <w:rFonts w:ascii="Palatino Linotype" w:eastAsia="Times New Roman" w:hAnsi="Palatino Linotype" w:cs="Times New Roman"/>
          <w:i/>
          <w:iCs/>
          <w:color w:val="222222"/>
          <w:lang w:eastAsia="es-MX"/>
        </w:rPr>
      </w:pPr>
      <w:r w:rsidRPr="00FD0D0B">
        <w:rPr>
          <w:rFonts w:ascii="Palatino Linotype" w:eastAsia="Times New Roman" w:hAnsi="Palatino Linotype" w:cs="Times New Roman"/>
          <w:i/>
          <w:iCs/>
          <w:color w:val="222222"/>
          <w:lang w:eastAsia="es-MX"/>
        </w:rPr>
        <w:t>e) La información curricular y el documento donde consten los salarios de los mandos medios y superiores, nombrados del 1 al 14 de enero de 2019.</w:t>
      </w:r>
    </w:p>
    <w:p w:rsidR="00FD0D0B" w:rsidRPr="00FD0D0B" w:rsidRDefault="00FD0D0B" w:rsidP="00E97CC5">
      <w:pPr>
        <w:tabs>
          <w:tab w:val="left" w:pos="8222"/>
          <w:tab w:val="left" w:pos="8505"/>
        </w:tabs>
        <w:spacing w:before="100" w:beforeAutospacing="1" w:after="100" w:afterAutospacing="1" w:line="240" w:lineRule="auto"/>
        <w:ind w:left="284" w:right="423"/>
        <w:jc w:val="both"/>
        <w:rPr>
          <w:rFonts w:ascii="Palatino Linotype" w:eastAsia="Times New Roman" w:hAnsi="Palatino Linotype" w:cs="Times New Roman"/>
          <w:i/>
          <w:iCs/>
          <w:color w:val="222222"/>
          <w:lang w:eastAsia="es-MX"/>
        </w:rPr>
      </w:pPr>
      <w:r w:rsidRPr="00FD0D0B">
        <w:rPr>
          <w:rFonts w:ascii="Palatino Linotype" w:eastAsia="Times New Roman" w:hAnsi="Palatino Linotype" w:cs="Times New Roman"/>
          <w:i/>
          <w:iCs/>
          <w:color w:val="222222"/>
          <w:lang w:eastAsia="es-MX"/>
        </w:rPr>
        <w:t>Debiendo notificar al</w:t>
      </w:r>
      <w:r w:rsidRPr="00FD0D0B">
        <w:rPr>
          <w:rFonts w:ascii="Palatino Linotype" w:eastAsia="Times New Roman" w:hAnsi="Palatino Linotype" w:cs="Times New Roman"/>
          <w:b/>
          <w:i/>
          <w:iCs/>
          <w:color w:val="222222"/>
          <w:lang w:eastAsia="es-MX"/>
        </w:rPr>
        <w:t xml:space="preserve"> RECURRENTE</w:t>
      </w:r>
      <w:r w:rsidRPr="00FD0D0B">
        <w:rPr>
          <w:rFonts w:ascii="Palatino Linotype" w:eastAsia="Times New Roman" w:hAnsi="Palatino Linotype" w:cs="Times New Roman"/>
          <w:i/>
          <w:iCs/>
          <w:color w:val="222222"/>
          <w:lang w:eastAsia="es-MX"/>
        </w:rPr>
        <w:t xml:space="preserve"> el Acuerdo de Clasificación que emita el Comité de Transparencia con motivo de las versiones públicas.”</w:t>
      </w:r>
    </w:p>
    <w:p w:rsidR="00E711B2" w:rsidRPr="004F4AF9" w:rsidRDefault="00FC52EC" w:rsidP="00E711B2">
      <w:pPr>
        <w:spacing w:before="120" w:after="120" w:line="360" w:lineRule="auto"/>
        <w:jc w:val="both"/>
        <w:rPr>
          <w:rFonts w:ascii="Palatino Linotype" w:eastAsia="MS Mincho" w:hAnsi="Palatino Linotype" w:cs="Times New Roman"/>
          <w:lang w:val="es-ES" w:eastAsia="es-ES"/>
        </w:rPr>
      </w:pPr>
      <w:r w:rsidRPr="004F4AF9">
        <w:rPr>
          <w:rFonts w:ascii="Palatino Linotype" w:eastAsia="MS Mincho" w:hAnsi="Palatino Linotype" w:cs="Times New Roman"/>
          <w:lang w:val="es-ES" w:eastAsia="es-ES"/>
        </w:rPr>
        <w:t>Al respecto, es preciso mencionar que</w:t>
      </w:r>
      <w:r w:rsidR="00BD47C1" w:rsidRPr="004F4AF9">
        <w:rPr>
          <w:rFonts w:ascii="Palatino Linotype" w:eastAsia="MS Mincho" w:hAnsi="Palatino Linotype" w:cs="Times New Roman"/>
          <w:lang w:val="es-ES" w:eastAsia="es-ES"/>
        </w:rPr>
        <w:t xml:space="preserve"> si bien la Ponencia resolutora</w:t>
      </w:r>
      <w:r w:rsidR="00E711B2" w:rsidRPr="004F4AF9">
        <w:rPr>
          <w:rFonts w:ascii="Palatino Linotype" w:eastAsia="MS Mincho" w:hAnsi="Palatino Linotype" w:cs="Times New Roman"/>
          <w:lang w:val="es-ES" w:eastAsia="es-ES"/>
        </w:rPr>
        <w:t xml:space="preserve"> ordenó la entrega de la información transcrita, considero que los respectivos certificados de no antecedentes penales del Director de Administración y Finanzas y del Titular de la Contraloría Interna del Sujeto Obligado</w:t>
      </w:r>
      <w:r w:rsidR="00744422" w:rsidRPr="004F4AF9">
        <w:rPr>
          <w:rFonts w:ascii="Palatino Linotype" w:eastAsia="MS Mincho" w:hAnsi="Palatino Linotype" w:cs="Times New Roman"/>
          <w:lang w:val="es-ES" w:eastAsia="es-ES"/>
        </w:rPr>
        <w:t xml:space="preserve"> ordenados</w:t>
      </w:r>
      <w:r w:rsidR="00E711B2" w:rsidRPr="004F4AF9">
        <w:rPr>
          <w:rFonts w:ascii="Palatino Linotype" w:eastAsia="MS Mincho" w:hAnsi="Palatino Linotype" w:cs="Times New Roman"/>
          <w:lang w:val="es-ES" w:eastAsia="es-ES"/>
        </w:rPr>
        <w:t xml:space="preserve">, constituyen información confidencial. </w:t>
      </w:r>
    </w:p>
    <w:p w:rsidR="00E711B2" w:rsidRPr="004F4AF9" w:rsidRDefault="00E711B2" w:rsidP="00E711B2">
      <w:pPr>
        <w:spacing w:before="240" w:after="240" w:line="360" w:lineRule="auto"/>
        <w:jc w:val="both"/>
        <w:rPr>
          <w:rFonts w:ascii="Palatino Linotype" w:eastAsia="Times New Roman" w:hAnsi="Palatino Linotype" w:cs="Arial"/>
          <w:lang w:eastAsia="es-MX"/>
        </w:rPr>
      </w:pPr>
      <w:r w:rsidRPr="004F4AF9">
        <w:rPr>
          <w:rFonts w:ascii="Palatino Linotype" w:hAnsi="Palatino Linotype"/>
        </w:rPr>
        <w:t xml:space="preserve">En primer término debemos conocer la integración de los expedientes de servidores públicos, es decir, los requisitos para verificar que el certificado de antecedentes no penales sea considerado un requisito y por ende se encuentre bajo resguardo de una autoridad. </w:t>
      </w:r>
    </w:p>
    <w:p w:rsidR="00E711B2" w:rsidRPr="004F4AF9" w:rsidRDefault="00E711B2" w:rsidP="00E711B2">
      <w:pPr>
        <w:spacing w:line="360" w:lineRule="auto"/>
        <w:jc w:val="both"/>
        <w:rPr>
          <w:rFonts w:ascii="Palatino Linotype" w:hAnsi="Palatino Linotype"/>
        </w:rPr>
      </w:pPr>
      <w:r w:rsidRPr="004F4AF9">
        <w:rPr>
          <w:rFonts w:ascii="Palatino Linotype" w:hAnsi="Palatino Linotype"/>
        </w:rPr>
        <w:lastRenderedPageBreak/>
        <w:t xml:space="preserve">Por su parte, en el Manual de Normas y Procedimientos de Desarrollo y Administración de Personal </w:t>
      </w:r>
      <w:r w:rsidR="00C22C8F" w:rsidRPr="004F4AF9">
        <w:rPr>
          <w:rFonts w:ascii="Palatino Linotype" w:hAnsi="Palatino Linotype"/>
        </w:rPr>
        <w:t xml:space="preserve">del Estado de México, específicamente </w:t>
      </w:r>
      <w:r w:rsidRPr="004F4AF9">
        <w:rPr>
          <w:rFonts w:ascii="Palatino Linotype" w:hAnsi="Palatino Linotype"/>
        </w:rPr>
        <w:t>en el Procedimiento 021 “ALTA DE SERVIDORES PÚBLICOS GENERALES Y DE CONFIANZA” establece en las normas 20301/021-01 y 20301/021-11 lo siguiente:</w:t>
      </w:r>
    </w:p>
    <w:p w:rsidR="00E711B2" w:rsidRPr="004F4AF9" w:rsidRDefault="00494916" w:rsidP="00E711B2">
      <w:pPr>
        <w:jc w:val="both"/>
        <w:rPr>
          <w:rFonts w:ascii="Palatino Linotype" w:hAnsi="Palatino Linotype"/>
          <w:i/>
        </w:rPr>
      </w:pPr>
      <w:r w:rsidRPr="004F4AF9">
        <w:rPr>
          <w:rFonts w:ascii="Palatino Linotype" w:hAnsi="Palatino Linotype"/>
          <w:i/>
        </w:rPr>
        <w:t>“</w:t>
      </w:r>
      <w:r w:rsidR="00E711B2" w:rsidRPr="004F4AF9">
        <w:rPr>
          <w:rFonts w:ascii="Palatino Linotype" w:hAnsi="Palatino Linotype"/>
          <w:b/>
          <w:i/>
        </w:rPr>
        <w:t>20301/021-01</w:t>
      </w:r>
      <w:r w:rsidR="00E711B2" w:rsidRPr="004F4AF9">
        <w:rPr>
          <w:rFonts w:ascii="Palatino Linotype" w:hAnsi="Palatino Linotype"/>
          <w:i/>
        </w:rPr>
        <w:t xml:space="preserve"> Es política del Gobierno del Estado de México no hacer discriminación alguna para el ingreso de servidores públicos, por motivo de sexo, credo religioso, edad, raza o filiación política, </w:t>
      </w:r>
    </w:p>
    <w:p w:rsidR="00E711B2" w:rsidRPr="004F4AF9" w:rsidRDefault="00E711B2" w:rsidP="00E711B2">
      <w:pPr>
        <w:jc w:val="both"/>
        <w:rPr>
          <w:rFonts w:ascii="Palatino Linotype" w:hAnsi="Palatino Linotype"/>
          <w:i/>
        </w:rPr>
      </w:pPr>
      <w:r w:rsidRPr="004F4AF9">
        <w:rPr>
          <w:rFonts w:ascii="Palatino Linotype" w:hAnsi="Palatino Linotype"/>
          <w:b/>
          <w:i/>
        </w:rPr>
        <w:t>20301/021-11</w:t>
      </w:r>
      <w:r w:rsidRPr="004F4AF9">
        <w:rPr>
          <w:rFonts w:ascii="Palatino Linotype" w:hAnsi="Palatino Linotype"/>
          <w:i/>
        </w:rPr>
        <w:t xml:space="preserve"> Las coordinaciones administrativas o equivalentes, para dar de alta a un candidato en el sector central del Poder Ejecutivo del Gobierno del Estado de México, deberán solicitarle que presente el Informe de No Antecedentes Penales (Informe para solicitud como trámite laboral) emitido por la Procuraduría General de Justicia del Estado de México, por conducto del Instituto de Servicios Periciales, así como copia del comprobante en línea. El Informe de No Antecedentes Penales, no exime al candidato a ocupar algún puesto, de la obtención del Certificado de No Antecedentes Penales, el cual deberá presentar ante la coordinación administrativa o equivalente una vez que lo obtenga (solicitud como certificado para desempeñar un empleo, cargo o comisión en el servicio público o para ingreso o permanencia en Instituciones de Seguridad Pública)</w:t>
      </w:r>
    </w:p>
    <w:p w:rsidR="00494916" w:rsidRPr="004F4AF9" w:rsidRDefault="00494916" w:rsidP="00E711B2">
      <w:pPr>
        <w:jc w:val="both"/>
        <w:rPr>
          <w:rFonts w:ascii="Palatino Linotype" w:hAnsi="Palatino Linotype"/>
          <w:i/>
        </w:rPr>
      </w:pPr>
      <w:r w:rsidRPr="004F4AF9">
        <w:rPr>
          <w:rFonts w:ascii="Palatino Linotype" w:hAnsi="Palatino Linotype"/>
          <w:i/>
          <w:noProof/>
          <w:lang w:eastAsia="es-MX"/>
        </w:rPr>
        <w:drawing>
          <wp:inline distT="0" distB="0" distL="0" distR="0" wp14:anchorId="47DC5DD4">
            <wp:extent cx="5651500" cy="2855396"/>
            <wp:effectExtent l="0" t="0" r="635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8486" cy="2858926"/>
                    </a:xfrm>
                    <a:prstGeom prst="rect">
                      <a:avLst/>
                    </a:prstGeom>
                    <a:noFill/>
                  </pic:spPr>
                </pic:pic>
              </a:graphicData>
            </a:graphic>
          </wp:inline>
        </w:drawing>
      </w:r>
    </w:p>
    <w:p w:rsidR="00E711B2" w:rsidRPr="004F4AF9" w:rsidRDefault="00E711B2" w:rsidP="00E711B2">
      <w:pPr>
        <w:spacing w:before="240" w:after="240" w:line="360" w:lineRule="auto"/>
        <w:jc w:val="both"/>
        <w:rPr>
          <w:rFonts w:ascii="Palatino Linotype" w:hAnsi="Palatino Linotype"/>
        </w:rPr>
      </w:pPr>
      <w:r w:rsidRPr="004F4AF9">
        <w:rPr>
          <w:rFonts w:ascii="Palatino Linotype" w:hAnsi="Palatino Linotype"/>
        </w:rPr>
        <w:lastRenderedPageBreak/>
        <w:t>De lo</w:t>
      </w:r>
      <w:r w:rsidR="00494916" w:rsidRPr="004F4AF9">
        <w:rPr>
          <w:rFonts w:ascii="Palatino Linotype" w:hAnsi="Palatino Linotype"/>
        </w:rPr>
        <w:t xml:space="preserve"> anterior, se advierte que </w:t>
      </w:r>
      <w:r w:rsidRPr="004F4AF9">
        <w:rPr>
          <w:rFonts w:ascii="Palatino Linotype" w:hAnsi="Palatino Linotype"/>
        </w:rPr>
        <w:t xml:space="preserve">para ingresar al servicio público en el Estado de México, </w:t>
      </w:r>
      <w:r w:rsidR="00494916" w:rsidRPr="004F4AF9">
        <w:rPr>
          <w:rFonts w:ascii="Palatino Linotype" w:hAnsi="Palatino Linotype"/>
        </w:rPr>
        <w:t xml:space="preserve">se requiere, </w:t>
      </w:r>
      <w:r w:rsidRPr="004F4AF9">
        <w:rPr>
          <w:rFonts w:ascii="Palatino Linotype" w:hAnsi="Palatino Linotype"/>
        </w:rPr>
        <w:t>entre otros documentos</w:t>
      </w:r>
      <w:r w:rsidR="00494916" w:rsidRPr="004F4AF9">
        <w:rPr>
          <w:rFonts w:ascii="Palatino Linotype" w:hAnsi="Palatino Linotype"/>
        </w:rPr>
        <w:t xml:space="preserve">, </w:t>
      </w:r>
      <w:r w:rsidRPr="004F4AF9">
        <w:rPr>
          <w:rFonts w:ascii="Palatino Linotype" w:hAnsi="Palatino Linotype"/>
        </w:rPr>
        <w:t>el certificado de No Antecedentes Penales.</w:t>
      </w:r>
    </w:p>
    <w:p w:rsidR="00E711B2" w:rsidRPr="004F4AF9" w:rsidRDefault="00E711B2" w:rsidP="00E711B2">
      <w:pPr>
        <w:spacing w:before="240" w:after="240" w:line="360" w:lineRule="auto"/>
        <w:jc w:val="both"/>
        <w:rPr>
          <w:rFonts w:ascii="Palatino Linotype" w:hAnsi="Palatino Linotype"/>
        </w:rPr>
      </w:pPr>
      <w:r w:rsidRPr="004F4AF9">
        <w:rPr>
          <w:rFonts w:ascii="Palatino Linotype" w:hAnsi="Palatino Linotype"/>
        </w:rPr>
        <w:t>Ahora bien,</w:t>
      </w:r>
      <w:r w:rsidR="00E85A7C" w:rsidRPr="004F4AF9">
        <w:rPr>
          <w:rFonts w:ascii="Palatino Linotype" w:hAnsi="Palatino Linotype"/>
        </w:rPr>
        <w:t xml:space="preserve"> para la obtención del documento citado, </w:t>
      </w:r>
      <w:r w:rsidRPr="004F4AF9">
        <w:rPr>
          <w:rFonts w:ascii="Palatino Linotype" w:hAnsi="Palatino Linotype"/>
        </w:rPr>
        <w:t xml:space="preserve">el propio usuario deberá seguir un procedimiento, el cual se encuentra establecido en el </w:t>
      </w:r>
      <w:r w:rsidRPr="004F4AF9">
        <w:rPr>
          <w:rFonts w:ascii="Palatino Linotype" w:hAnsi="Palatino Linotype"/>
          <w:b/>
        </w:rPr>
        <w:t>ACUERDO NUMERO 14/2011, DEL PROCURADOR GENERAL DE JUSTICIA DEL ESTADO DE MÉXICO, POR EL QUE SE ESTABLECEN LOS SUPUESTOS Y LINEAMIENTOS PARA LA EXPEDICIÓN DE INFORMES Y CERTIFICADOS DE NO ANTECEDENTES PENALES</w:t>
      </w:r>
      <w:r w:rsidRPr="004F4AF9">
        <w:rPr>
          <w:rFonts w:ascii="Palatino Linotype" w:hAnsi="Palatino Linotype"/>
        </w:rPr>
        <w:t>, publicado en la Gaceta del Gobierno del Estado de México el treinta de noviembre de dos mil once y que señala lo siguiente:</w:t>
      </w:r>
    </w:p>
    <w:p w:rsidR="00E711B2" w:rsidRPr="004F4AF9" w:rsidRDefault="00E711B2" w:rsidP="00E711B2">
      <w:pPr>
        <w:spacing w:before="240" w:after="240" w:line="360" w:lineRule="auto"/>
        <w:jc w:val="both"/>
        <w:rPr>
          <w:rFonts w:ascii="Palatino Linotype" w:hAnsi="Palatino Linotype" w:cs="Arial"/>
          <w:i/>
        </w:rPr>
      </w:pPr>
      <w:r w:rsidRPr="004F4AF9">
        <w:rPr>
          <w:rFonts w:ascii="Palatino Linotype" w:hAnsi="Palatino Linotype" w:cs="Arial"/>
          <w:i/>
        </w:rPr>
        <w:t>“</w:t>
      </w:r>
      <w:r w:rsidRPr="004F4AF9">
        <w:rPr>
          <w:rFonts w:ascii="Palatino Linotype" w:hAnsi="Palatino Linotype" w:cs="Arial"/>
          <w:b/>
          <w:i/>
        </w:rPr>
        <w:t>CUARTO</w:t>
      </w:r>
      <w:r w:rsidRPr="004F4AF9">
        <w:rPr>
          <w:rFonts w:ascii="Palatino Linotype" w:hAnsi="Palatino Linotype" w:cs="Arial"/>
          <w:i/>
        </w:rPr>
        <w:t>. Para efectos de este Acuerdo, son antecedentes penales aquellos registros de, identificación personal sobre sujetos que hubieren sido condenados por autoridad judicial competente a una pena o medida de seguridad, mediante resolución que haya causado ejecutoria, en los términos a que hace referencia el Libro Primero. Titulo Tercero del Código Penal del Estado de México.”</w:t>
      </w:r>
    </w:p>
    <w:p w:rsidR="00E711B2" w:rsidRPr="004F4AF9" w:rsidRDefault="00E711B2" w:rsidP="00E711B2">
      <w:pPr>
        <w:pStyle w:val="Prrafodelista"/>
        <w:spacing w:before="240" w:after="240" w:line="360" w:lineRule="auto"/>
        <w:ind w:left="0"/>
        <w:jc w:val="both"/>
        <w:rPr>
          <w:rFonts w:ascii="Palatino Linotype" w:hAnsi="Palatino Linotype" w:cs="Arial"/>
          <w:i/>
          <w:sz w:val="22"/>
          <w:szCs w:val="22"/>
        </w:rPr>
      </w:pPr>
      <w:r w:rsidRPr="004F4AF9">
        <w:rPr>
          <w:rFonts w:ascii="Palatino Linotype" w:hAnsi="Palatino Linotype" w:cs="Arial"/>
          <w:i/>
          <w:sz w:val="22"/>
          <w:szCs w:val="22"/>
        </w:rPr>
        <w:t>“</w:t>
      </w:r>
      <w:r w:rsidRPr="00E97CC5">
        <w:rPr>
          <w:rFonts w:ascii="Palatino Linotype" w:hAnsi="Palatino Linotype" w:cs="Arial"/>
          <w:b/>
          <w:i/>
          <w:sz w:val="22"/>
          <w:szCs w:val="22"/>
        </w:rPr>
        <w:t>SÉPTIMO</w:t>
      </w:r>
      <w:r w:rsidRPr="004F4AF9">
        <w:rPr>
          <w:rFonts w:ascii="Palatino Linotype" w:hAnsi="Palatino Linotype" w:cs="Arial"/>
          <w:i/>
          <w:sz w:val="22"/>
          <w:szCs w:val="22"/>
        </w:rPr>
        <w:t xml:space="preserve">. </w:t>
      </w:r>
      <w:r w:rsidRPr="004F4AF9">
        <w:rPr>
          <w:rFonts w:ascii="Palatino Linotype" w:hAnsi="Palatino Linotype" w:cs="Arial"/>
          <w:b/>
          <w:i/>
          <w:sz w:val="22"/>
          <w:szCs w:val="22"/>
          <w:u w:val="single"/>
        </w:rPr>
        <w:t>Para la expedición del Certificado de No Antecedentes Penales</w:t>
      </w:r>
      <w:r w:rsidRPr="004F4AF9">
        <w:rPr>
          <w:rFonts w:ascii="Palatino Linotype" w:hAnsi="Palatino Linotype" w:cs="Arial"/>
          <w:i/>
          <w:sz w:val="22"/>
          <w:szCs w:val="22"/>
        </w:rPr>
        <w:t xml:space="preserve">, el Instituto de Servicios Periciales deberá recabar </w:t>
      </w:r>
      <w:r w:rsidRPr="004F4AF9">
        <w:rPr>
          <w:rFonts w:ascii="Palatino Linotype" w:hAnsi="Palatino Linotype" w:cs="Arial"/>
          <w:b/>
          <w:i/>
          <w:sz w:val="22"/>
          <w:szCs w:val="22"/>
        </w:rPr>
        <w:t>constancia del pago de derechos respectivo, copia de identificación oficial, fotografías y huellas dactilares del interesado</w:t>
      </w:r>
      <w:r w:rsidRPr="004F4AF9">
        <w:rPr>
          <w:rFonts w:ascii="Palatino Linotype" w:hAnsi="Palatino Linotype" w:cs="Arial"/>
          <w:i/>
          <w:sz w:val="22"/>
          <w:szCs w:val="22"/>
        </w:rPr>
        <w:t xml:space="preserve">, conforme a Ia normatividad aplicable. Para el trámite respectivo, el interesado deberá: </w:t>
      </w:r>
    </w:p>
    <w:p w:rsidR="00E711B2" w:rsidRPr="004F4AF9" w:rsidRDefault="00E711B2" w:rsidP="00E711B2">
      <w:pPr>
        <w:pStyle w:val="Prrafodelista"/>
        <w:spacing w:before="240" w:after="240" w:line="360" w:lineRule="auto"/>
        <w:ind w:left="0"/>
        <w:jc w:val="both"/>
        <w:rPr>
          <w:rFonts w:ascii="Palatino Linotype" w:hAnsi="Palatino Linotype" w:cs="Arial"/>
          <w:i/>
          <w:sz w:val="22"/>
          <w:szCs w:val="22"/>
        </w:rPr>
      </w:pPr>
      <w:r w:rsidRPr="004F4AF9">
        <w:rPr>
          <w:rFonts w:ascii="Palatino Linotype" w:hAnsi="Palatino Linotype" w:cs="Arial"/>
          <w:i/>
          <w:sz w:val="22"/>
          <w:szCs w:val="22"/>
        </w:rPr>
        <w:t>Realizar el pago de derechos por la expedición del Certificado de No Antecedentes Penales de la forma que a continuación se indica:</w:t>
      </w:r>
    </w:p>
    <w:p w:rsidR="00E711B2" w:rsidRPr="004F4AF9" w:rsidRDefault="00E711B2" w:rsidP="00E711B2">
      <w:pPr>
        <w:pStyle w:val="Prrafodelista"/>
        <w:numPr>
          <w:ilvl w:val="0"/>
          <w:numId w:val="10"/>
        </w:numPr>
        <w:spacing w:before="240" w:after="240" w:line="360" w:lineRule="auto"/>
        <w:ind w:left="709"/>
        <w:jc w:val="both"/>
        <w:rPr>
          <w:rFonts w:ascii="Palatino Linotype" w:hAnsi="Palatino Linotype" w:cs="Arial"/>
          <w:i/>
          <w:sz w:val="22"/>
          <w:szCs w:val="22"/>
        </w:rPr>
      </w:pPr>
      <w:r w:rsidRPr="004F4AF9">
        <w:rPr>
          <w:rFonts w:ascii="Palatino Linotype" w:hAnsi="Palatino Linotype" w:cs="Arial"/>
          <w:i/>
          <w:sz w:val="22"/>
          <w:szCs w:val="22"/>
        </w:rPr>
        <w:t xml:space="preserve"> Ingresar a la página electrónica www.edomex.gob.mx: Hacer "click en el botón "Portal de Servicios al Contribuyente, Pagos Electrónicos"; </w:t>
      </w:r>
    </w:p>
    <w:p w:rsidR="00E711B2" w:rsidRPr="004F4AF9" w:rsidRDefault="00E711B2" w:rsidP="00E711B2">
      <w:pPr>
        <w:pStyle w:val="Prrafodelista"/>
        <w:numPr>
          <w:ilvl w:val="0"/>
          <w:numId w:val="10"/>
        </w:numPr>
        <w:spacing w:before="240" w:after="240" w:line="360" w:lineRule="auto"/>
        <w:ind w:left="709"/>
        <w:jc w:val="both"/>
        <w:rPr>
          <w:rFonts w:ascii="Palatino Linotype" w:hAnsi="Palatino Linotype" w:cs="Arial"/>
          <w:i/>
          <w:sz w:val="22"/>
          <w:szCs w:val="22"/>
        </w:rPr>
      </w:pPr>
      <w:r w:rsidRPr="004F4AF9">
        <w:rPr>
          <w:rFonts w:ascii="Palatino Linotype" w:hAnsi="Palatino Linotype" w:cs="Arial"/>
          <w:i/>
          <w:sz w:val="22"/>
          <w:szCs w:val="22"/>
        </w:rPr>
        <w:lastRenderedPageBreak/>
        <w:t>Hacer "click" en el botón "Derechos" y a continuación en "No Antecedentes Penales"; Llenar el "Formulario de Pago Estatal Procuraduría", e. imprimir el formulario y acudir a realizar el pago en cualquiera de las instituciones bancarias señaladas en el mismo.</w:t>
      </w:r>
    </w:p>
    <w:p w:rsidR="00E711B2" w:rsidRPr="004F4AF9" w:rsidRDefault="00E711B2" w:rsidP="00E711B2">
      <w:pPr>
        <w:pStyle w:val="Prrafodelista"/>
        <w:numPr>
          <w:ilvl w:val="0"/>
          <w:numId w:val="10"/>
        </w:numPr>
        <w:spacing w:before="240" w:after="240" w:line="360" w:lineRule="auto"/>
        <w:ind w:left="709"/>
        <w:jc w:val="both"/>
        <w:rPr>
          <w:rFonts w:ascii="Palatino Linotype" w:hAnsi="Palatino Linotype" w:cs="Arial"/>
          <w:i/>
          <w:sz w:val="22"/>
          <w:szCs w:val="22"/>
        </w:rPr>
      </w:pPr>
      <w:r w:rsidRPr="004F4AF9">
        <w:rPr>
          <w:rFonts w:ascii="Palatino Linotype" w:hAnsi="Palatino Linotype" w:cs="Arial"/>
          <w:i/>
          <w:sz w:val="22"/>
          <w:szCs w:val="22"/>
        </w:rPr>
        <w:t xml:space="preserve"> Hecho el pago de derechos, ingresar a la página www.eciornex.dob.mx/pgiern y proceder como sigue: Hacer "click" en el botón "Expedición de Certificado de No Antecedentes Penales" y llenar el Formato correspondiente; dar "click" en el botón "Siguiente" y aparecerá un comprobante de registro en línea, generando una clave del trámite un número de folio, el cual deberá imprimirse., el interesado se podrá presentar en las oficinas del Instituto de Servicios Periciales de su elección, en días hábiles, en un horario de 09:00 a 18:00 horas, exhibiendo el comprobante de registro en línea. </w:t>
      </w:r>
    </w:p>
    <w:p w:rsidR="00E711B2" w:rsidRPr="004F4AF9" w:rsidRDefault="00E711B2" w:rsidP="00E711B2">
      <w:pPr>
        <w:spacing w:before="240" w:after="240" w:line="360" w:lineRule="auto"/>
        <w:jc w:val="both"/>
        <w:rPr>
          <w:rFonts w:ascii="Palatino Linotype" w:hAnsi="Palatino Linotype" w:cs="Arial"/>
          <w:i/>
        </w:rPr>
      </w:pPr>
      <w:r w:rsidRPr="004F4AF9">
        <w:rPr>
          <w:rFonts w:ascii="Palatino Linotype" w:hAnsi="Palatino Linotype" w:cs="Arial"/>
          <w:b/>
          <w:i/>
        </w:rPr>
        <w:t>OCTAVO</w:t>
      </w:r>
      <w:r w:rsidRPr="004F4AF9">
        <w:rPr>
          <w:rFonts w:ascii="Palatino Linotype" w:hAnsi="Palatino Linotype" w:cs="Arial"/>
          <w:i/>
        </w:rPr>
        <w:t xml:space="preserve">. El Instituto de Servicios Periciales expedirá </w:t>
      </w:r>
      <w:r w:rsidRPr="004F4AF9">
        <w:rPr>
          <w:rFonts w:ascii="Palatino Linotype" w:hAnsi="Palatino Linotype" w:cs="Arial"/>
          <w:b/>
          <w:i/>
        </w:rPr>
        <w:t>un Informe</w:t>
      </w:r>
      <w:r w:rsidRPr="004F4AF9">
        <w:rPr>
          <w:rFonts w:ascii="Palatino Linotype" w:hAnsi="Palatino Linotype" w:cs="Arial"/>
          <w:i/>
        </w:rPr>
        <w:t xml:space="preserve">, a través de medios electrónicos, cuyo trámite será gratuito. Para tal efecto, el interesado deberá ingresar a la página electrónica www.edomex.gob.mx/pcliem y realizar lo siguiente: </w:t>
      </w:r>
    </w:p>
    <w:p w:rsidR="00E711B2" w:rsidRPr="004F4AF9" w:rsidRDefault="00E711B2" w:rsidP="00E711B2">
      <w:pPr>
        <w:pStyle w:val="Prrafodelista"/>
        <w:numPr>
          <w:ilvl w:val="0"/>
          <w:numId w:val="8"/>
        </w:numPr>
        <w:spacing w:before="240" w:after="240" w:line="360" w:lineRule="auto"/>
        <w:ind w:left="1352"/>
        <w:jc w:val="both"/>
        <w:rPr>
          <w:rFonts w:ascii="Palatino Linotype" w:hAnsi="Palatino Linotype" w:cs="Arial"/>
          <w:i/>
          <w:sz w:val="22"/>
          <w:szCs w:val="22"/>
        </w:rPr>
      </w:pPr>
      <w:r w:rsidRPr="004F4AF9">
        <w:rPr>
          <w:rFonts w:ascii="Palatino Linotype" w:hAnsi="Palatino Linotype" w:cs="Arial"/>
          <w:i/>
          <w:sz w:val="22"/>
          <w:szCs w:val="22"/>
        </w:rPr>
        <w:t xml:space="preserve">Llenar el Formato con los siguientes datos: </w:t>
      </w:r>
    </w:p>
    <w:p w:rsidR="00E711B2" w:rsidRPr="004F4AF9" w:rsidRDefault="00E711B2" w:rsidP="00E711B2">
      <w:pPr>
        <w:pStyle w:val="Prrafodelista"/>
        <w:numPr>
          <w:ilvl w:val="1"/>
          <w:numId w:val="9"/>
        </w:numPr>
        <w:spacing w:before="240" w:after="240" w:line="360" w:lineRule="auto"/>
        <w:ind w:left="2072"/>
        <w:jc w:val="both"/>
        <w:rPr>
          <w:rFonts w:ascii="Palatino Linotype" w:hAnsi="Palatino Linotype" w:cs="Arial"/>
          <w:i/>
          <w:sz w:val="22"/>
          <w:szCs w:val="22"/>
        </w:rPr>
      </w:pPr>
      <w:r w:rsidRPr="004F4AF9">
        <w:rPr>
          <w:rFonts w:ascii="Palatino Linotype" w:hAnsi="Palatino Linotype" w:cs="Arial"/>
          <w:i/>
          <w:sz w:val="22"/>
          <w:szCs w:val="22"/>
        </w:rPr>
        <w:t xml:space="preserve">Nombre; </w:t>
      </w:r>
    </w:p>
    <w:p w:rsidR="00E711B2" w:rsidRPr="004F4AF9" w:rsidRDefault="00E711B2" w:rsidP="00E711B2">
      <w:pPr>
        <w:pStyle w:val="Prrafodelista"/>
        <w:numPr>
          <w:ilvl w:val="1"/>
          <w:numId w:val="9"/>
        </w:numPr>
        <w:spacing w:before="240" w:after="240" w:line="360" w:lineRule="auto"/>
        <w:ind w:left="2072"/>
        <w:jc w:val="both"/>
        <w:rPr>
          <w:rFonts w:ascii="Palatino Linotype" w:hAnsi="Palatino Linotype" w:cs="Arial"/>
          <w:i/>
          <w:sz w:val="22"/>
          <w:szCs w:val="22"/>
        </w:rPr>
      </w:pPr>
      <w:r w:rsidRPr="004F4AF9">
        <w:rPr>
          <w:rFonts w:ascii="Palatino Linotype" w:hAnsi="Palatino Linotype" w:cs="Arial"/>
          <w:i/>
          <w:sz w:val="22"/>
          <w:szCs w:val="22"/>
        </w:rPr>
        <w:t xml:space="preserve">Apellido Paterno; </w:t>
      </w:r>
    </w:p>
    <w:p w:rsidR="00E711B2" w:rsidRPr="004F4AF9" w:rsidRDefault="00E711B2" w:rsidP="00E711B2">
      <w:pPr>
        <w:pStyle w:val="Prrafodelista"/>
        <w:numPr>
          <w:ilvl w:val="1"/>
          <w:numId w:val="9"/>
        </w:numPr>
        <w:spacing w:before="240" w:after="240" w:line="360" w:lineRule="auto"/>
        <w:ind w:left="2072"/>
        <w:jc w:val="both"/>
        <w:rPr>
          <w:rFonts w:ascii="Palatino Linotype" w:hAnsi="Palatino Linotype" w:cs="Arial"/>
          <w:i/>
          <w:sz w:val="22"/>
          <w:szCs w:val="22"/>
        </w:rPr>
      </w:pPr>
      <w:r w:rsidRPr="004F4AF9">
        <w:rPr>
          <w:rFonts w:ascii="Palatino Linotype" w:hAnsi="Palatino Linotype" w:cs="Arial"/>
          <w:i/>
          <w:sz w:val="22"/>
          <w:szCs w:val="22"/>
        </w:rPr>
        <w:t xml:space="preserve">Apellido Materno; </w:t>
      </w:r>
    </w:p>
    <w:p w:rsidR="00E711B2" w:rsidRPr="004F4AF9" w:rsidRDefault="00E711B2" w:rsidP="00E711B2">
      <w:pPr>
        <w:pStyle w:val="Prrafodelista"/>
        <w:numPr>
          <w:ilvl w:val="1"/>
          <w:numId w:val="9"/>
        </w:numPr>
        <w:spacing w:before="240" w:after="240" w:line="360" w:lineRule="auto"/>
        <w:ind w:left="2072"/>
        <w:jc w:val="both"/>
        <w:rPr>
          <w:rFonts w:ascii="Palatino Linotype" w:hAnsi="Palatino Linotype" w:cs="Arial"/>
          <w:i/>
          <w:sz w:val="22"/>
          <w:szCs w:val="22"/>
        </w:rPr>
      </w:pPr>
      <w:r w:rsidRPr="004F4AF9">
        <w:rPr>
          <w:rFonts w:ascii="Palatino Linotype" w:hAnsi="Palatino Linotype" w:cs="Arial"/>
          <w:i/>
          <w:sz w:val="22"/>
          <w:szCs w:val="22"/>
        </w:rPr>
        <w:t>Fecha de Nacimiento (dd/mm/aaaa):</w:t>
      </w:r>
    </w:p>
    <w:p w:rsidR="00E711B2" w:rsidRPr="004F4AF9" w:rsidRDefault="00E711B2" w:rsidP="00E711B2">
      <w:pPr>
        <w:pStyle w:val="Prrafodelista"/>
        <w:numPr>
          <w:ilvl w:val="1"/>
          <w:numId w:val="9"/>
        </w:numPr>
        <w:spacing w:before="240" w:after="240" w:line="360" w:lineRule="auto"/>
        <w:ind w:left="2072"/>
        <w:jc w:val="both"/>
        <w:rPr>
          <w:rFonts w:ascii="Palatino Linotype" w:hAnsi="Palatino Linotype" w:cs="Arial"/>
          <w:i/>
          <w:sz w:val="22"/>
          <w:szCs w:val="22"/>
        </w:rPr>
      </w:pPr>
      <w:r w:rsidRPr="004F4AF9">
        <w:rPr>
          <w:rFonts w:ascii="Palatino Linotype" w:hAnsi="Palatino Linotype" w:cs="Arial"/>
          <w:i/>
          <w:sz w:val="22"/>
          <w:szCs w:val="22"/>
        </w:rPr>
        <w:t xml:space="preserve">Registro Federal de Contribuyentes (RFC); </w:t>
      </w:r>
    </w:p>
    <w:p w:rsidR="00E711B2" w:rsidRPr="004F4AF9" w:rsidRDefault="00E711B2" w:rsidP="00E711B2">
      <w:pPr>
        <w:pStyle w:val="Prrafodelista"/>
        <w:numPr>
          <w:ilvl w:val="1"/>
          <w:numId w:val="9"/>
        </w:numPr>
        <w:spacing w:before="240" w:after="240" w:line="360" w:lineRule="auto"/>
        <w:ind w:left="2072"/>
        <w:jc w:val="both"/>
        <w:rPr>
          <w:rFonts w:ascii="Palatino Linotype" w:hAnsi="Palatino Linotype" w:cs="Arial"/>
          <w:i/>
          <w:sz w:val="22"/>
          <w:szCs w:val="22"/>
        </w:rPr>
      </w:pPr>
      <w:r w:rsidRPr="004F4AF9">
        <w:rPr>
          <w:rFonts w:ascii="Palatino Linotype" w:hAnsi="Palatino Linotype" w:cs="Arial"/>
          <w:i/>
          <w:sz w:val="22"/>
          <w:szCs w:val="22"/>
        </w:rPr>
        <w:t xml:space="preserve">Clave Única de Registro de Población (CURP); </w:t>
      </w:r>
    </w:p>
    <w:p w:rsidR="00E711B2" w:rsidRPr="004F4AF9" w:rsidRDefault="00E711B2" w:rsidP="00E711B2">
      <w:pPr>
        <w:pStyle w:val="Prrafodelista"/>
        <w:numPr>
          <w:ilvl w:val="1"/>
          <w:numId w:val="9"/>
        </w:numPr>
        <w:spacing w:before="240" w:after="240" w:line="360" w:lineRule="auto"/>
        <w:ind w:left="2072"/>
        <w:jc w:val="both"/>
        <w:rPr>
          <w:rFonts w:ascii="Palatino Linotype" w:hAnsi="Palatino Linotype" w:cs="Arial"/>
          <w:i/>
          <w:sz w:val="22"/>
          <w:szCs w:val="22"/>
        </w:rPr>
      </w:pPr>
      <w:r w:rsidRPr="004F4AF9">
        <w:rPr>
          <w:rFonts w:ascii="Palatino Linotype" w:hAnsi="Palatino Linotype" w:cs="Arial"/>
          <w:i/>
          <w:sz w:val="22"/>
          <w:szCs w:val="22"/>
        </w:rPr>
        <w:t xml:space="preserve">Número de folio de la identificación: </w:t>
      </w:r>
    </w:p>
    <w:p w:rsidR="00E711B2" w:rsidRPr="004F4AF9" w:rsidRDefault="00E711B2" w:rsidP="00E711B2">
      <w:pPr>
        <w:pStyle w:val="Prrafodelista"/>
        <w:numPr>
          <w:ilvl w:val="1"/>
          <w:numId w:val="9"/>
        </w:numPr>
        <w:spacing w:before="240" w:after="240" w:line="360" w:lineRule="auto"/>
        <w:ind w:left="2072"/>
        <w:jc w:val="both"/>
        <w:rPr>
          <w:rFonts w:ascii="Palatino Linotype" w:hAnsi="Palatino Linotype" w:cs="Arial"/>
          <w:i/>
          <w:sz w:val="22"/>
          <w:szCs w:val="22"/>
        </w:rPr>
      </w:pPr>
      <w:r w:rsidRPr="004F4AF9">
        <w:rPr>
          <w:rFonts w:ascii="Palatino Linotype" w:hAnsi="Palatino Linotype" w:cs="Arial"/>
          <w:i/>
          <w:sz w:val="22"/>
          <w:szCs w:val="22"/>
        </w:rPr>
        <w:t>Teléfono fijo y móvil;</w:t>
      </w:r>
    </w:p>
    <w:p w:rsidR="00E711B2" w:rsidRPr="004F4AF9" w:rsidRDefault="00E711B2" w:rsidP="00E711B2">
      <w:pPr>
        <w:pStyle w:val="Prrafodelista"/>
        <w:numPr>
          <w:ilvl w:val="1"/>
          <w:numId w:val="9"/>
        </w:numPr>
        <w:spacing w:before="240" w:after="240" w:line="360" w:lineRule="auto"/>
        <w:ind w:left="2072"/>
        <w:jc w:val="both"/>
        <w:rPr>
          <w:rFonts w:ascii="Palatino Linotype" w:hAnsi="Palatino Linotype" w:cs="Arial"/>
          <w:i/>
          <w:sz w:val="22"/>
          <w:szCs w:val="22"/>
        </w:rPr>
      </w:pPr>
      <w:r w:rsidRPr="004F4AF9">
        <w:rPr>
          <w:rFonts w:ascii="Palatino Linotype" w:hAnsi="Palatino Linotype" w:cs="Arial"/>
          <w:i/>
          <w:sz w:val="22"/>
          <w:szCs w:val="22"/>
        </w:rPr>
        <w:t xml:space="preserve">Correo Electrónico, </w:t>
      </w:r>
    </w:p>
    <w:p w:rsidR="00E711B2" w:rsidRPr="004F4AF9" w:rsidRDefault="00E711B2" w:rsidP="00E711B2">
      <w:pPr>
        <w:pStyle w:val="Prrafodelista"/>
        <w:numPr>
          <w:ilvl w:val="1"/>
          <w:numId w:val="9"/>
        </w:numPr>
        <w:spacing w:before="240" w:after="240" w:line="360" w:lineRule="auto"/>
        <w:ind w:left="2072"/>
        <w:jc w:val="both"/>
        <w:rPr>
          <w:rFonts w:ascii="Palatino Linotype" w:hAnsi="Palatino Linotype" w:cs="Arial"/>
          <w:i/>
          <w:sz w:val="22"/>
          <w:szCs w:val="22"/>
        </w:rPr>
      </w:pPr>
      <w:r w:rsidRPr="004F4AF9">
        <w:rPr>
          <w:rFonts w:ascii="Palatino Linotype" w:hAnsi="Palatino Linotype" w:cs="Arial"/>
          <w:i/>
          <w:sz w:val="22"/>
          <w:szCs w:val="22"/>
        </w:rPr>
        <w:lastRenderedPageBreak/>
        <w:t xml:space="preserve">Domicilio, que contendrá: Calle, número exterior, número interior, Colonia, Código Postal y Municipio dentro del Estado de México. </w:t>
      </w:r>
    </w:p>
    <w:p w:rsidR="00E711B2" w:rsidRPr="004F4AF9" w:rsidRDefault="00E711B2" w:rsidP="00E711B2">
      <w:pPr>
        <w:pStyle w:val="Prrafodelista"/>
        <w:numPr>
          <w:ilvl w:val="1"/>
          <w:numId w:val="9"/>
        </w:numPr>
        <w:spacing w:before="240" w:after="240" w:line="360" w:lineRule="auto"/>
        <w:ind w:left="2072"/>
        <w:jc w:val="both"/>
        <w:rPr>
          <w:rFonts w:ascii="Palatino Linotype" w:hAnsi="Palatino Linotype" w:cs="Arial"/>
          <w:i/>
          <w:sz w:val="22"/>
          <w:szCs w:val="22"/>
        </w:rPr>
      </w:pPr>
      <w:r w:rsidRPr="004F4AF9">
        <w:rPr>
          <w:rFonts w:ascii="Palatino Linotype" w:hAnsi="Palatino Linotype" w:cs="Arial"/>
          <w:i/>
          <w:sz w:val="22"/>
          <w:szCs w:val="22"/>
        </w:rPr>
        <w:t xml:space="preserve">Adjuntar archivo que contenga la imagen de alguno de los documentos de identificación solicitados por el Sistema, y que serán: Credencial de elector expedida por el Instituto Federal Electoral, Licencia de conducir, Cartilla del Servicio Militar y Pasaporte expedido por la Secretaria de Relaciones Exteriores de la Federación. </w:t>
      </w:r>
    </w:p>
    <w:p w:rsidR="00E711B2" w:rsidRPr="004F4AF9" w:rsidRDefault="00E711B2" w:rsidP="00E711B2">
      <w:pPr>
        <w:pStyle w:val="Prrafodelista"/>
        <w:numPr>
          <w:ilvl w:val="0"/>
          <w:numId w:val="8"/>
        </w:numPr>
        <w:spacing w:before="240" w:after="240" w:line="360" w:lineRule="auto"/>
        <w:ind w:left="1352"/>
        <w:jc w:val="both"/>
        <w:rPr>
          <w:rFonts w:ascii="Palatino Linotype" w:hAnsi="Palatino Linotype" w:cs="Arial"/>
          <w:i/>
          <w:sz w:val="22"/>
          <w:szCs w:val="22"/>
        </w:rPr>
      </w:pPr>
      <w:r w:rsidRPr="004F4AF9">
        <w:rPr>
          <w:rFonts w:ascii="Palatino Linotype" w:hAnsi="Palatino Linotype" w:cs="Arial"/>
          <w:i/>
          <w:sz w:val="22"/>
          <w:szCs w:val="22"/>
        </w:rPr>
        <w:t>Dar "click" en el rubro "enviar". El Sistema generará un folio y número de trámite, el cual podrá ser consultado en la página de Internet de la Procuraduría General de Justicia del Estado de México por el plazo de treinta días naturales, a partir de la generación de la respuesta.”</w:t>
      </w:r>
    </w:p>
    <w:p w:rsidR="00E711B2" w:rsidRPr="004F4AF9" w:rsidRDefault="00E711B2" w:rsidP="00E711B2">
      <w:pPr>
        <w:spacing w:before="240" w:after="240" w:line="360" w:lineRule="auto"/>
        <w:jc w:val="both"/>
        <w:rPr>
          <w:rFonts w:ascii="Palatino Linotype" w:hAnsi="Palatino Linotype" w:cs="Arial"/>
          <w:i/>
        </w:rPr>
      </w:pPr>
      <w:r w:rsidRPr="004F4AF9">
        <w:rPr>
          <w:rFonts w:ascii="Palatino Linotype" w:hAnsi="Palatino Linotype" w:cs="Arial"/>
          <w:b/>
          <w:i/>
        </w:rPr>
        <w:t>NOVENO.</w:t>
      </w:r>
      <w:r w:rsidRPr="004F4AF9">
        <w:rPr>
          <w:rFonts w:ascii="Palatino Linotype" w:hAnsi="Palatino Linotype" w:cs="Arial"/>
          <w:i/>
        </w:rPr>
        <w:t xml:space="preserve"> El Informe será emitido únicamente en relación con los </w:t>
      </w:r>
      <w:r w:rsidRPr="004F4AF9">
        <w:rPr>
          <w:rFonts w:ascii="Palatino Linotype" w:hAnsi="Palatino Linotype" w:cs="Arial"/>
          <w:i/>
          <w:u w:val="single"/>
        </w:rPr>
        <w:t>datos proporcionados por el interesado</w:t>
      </w:r>
      <w:r w:rsidRPr="004F4AF9">
        <w:rPr>
          <w:rFonts w:ascii="Palatino Linotype" w:hAnsi="Palatino Linotype" w:cs="Arial"/>
          <w:i/>
        </w:rPr>
        <w:t xml:space="preserve"> en el Formato a que se refiere la fracción I del artículo anterior, y su utilización será estricta responsabilidad del usuario. El Informe se limitará a señalar que, conforme a los datos proporcionados, la persona de que se trate, no cuenta con antecedentes penales, sin hacer mayor precisión sobre los expedientes o registros correspondientes, o bien, que podrá presentarse en las oficinas del Instituto de Servicios Periciales para realizar las aclaraciones respectivas y en su caso, solicitar las rectificaciones y cancelaciones a que haya lugar, en términos de las disposiciones legales aplicables.”</w:t>
      </w:r>
    </w:p>
    <w:p w:rsidR="00E711B2" w:rsidRPr="004F4AF9" w:rsidRDefault="00E711B2" w:rsidP="00E711B2">
      <w:pPr>
        <w:spacing w:before="240" w:after="240" w:line="360" w:lineRule="auto"/>
        <w:jc w:val="both"/>
        <w:rPr>
          <w:rFonts w:ascii="Palatino Linotype" w:hAnsi="Palatino Linotype" w:cs="Arial"/>
        </w:rPr>
      </w:pPr>
      <w:r w:rsidRPr="004F4AF9">
        <w:rPr>
          <w:rFonts w:ascii="Palatino Linotype" w:hAnsi="Palatino Linotype" w:cs="Arial"/>
        </w:rPr>
        <w:t>De lo anterior, se desprende que para poder expedir el certifi</w:t>
      </w:r>
      <w:r w:rsidR="00C20579" w:rsidRPr="004F4AF9">
        <w:rPr>
          <w:rFonts w:ascii="Palatino Linotype" w:hAnsi="Palatino Linotype" w:cs="Arial"/>
        </w:rPr>
        <w:t>cado de antecedentes no penales</w:t>
      </w:r>
      <w:r w:rsidRPr="004F4AF9">
        <w:rPr>
          <w:rFonts w:ascii="Palatino Linotype" w:hAnsi="Palatino Linotype" w:cs="Arial"/>
        </w:rPr>
        <w:t xml:space="preserve"> o el informe conducente, el Instituto de Servicios Periciales necesita recabar los datos personales</w:t>
      </w:r>
      <w:r w:rsidR="00C20579" w:rsidRPr="004F4AF9">
        <w:rPr>
          <w:rFonts w:ascii="Palatino Linotype" w:hAnsi="Palatino Linotype" w:cs="Arial"/>
        </w:rPr>
        <w:t xml:space="preserve"> del interesado, </w:t>
      </w:r>
      <w:r w:rsidRPr="004F4AF9">
        <w:rPr>
          <w:rFonts w:ascii="Palatino Linotype" w:hAnsi="Palatino Linotype" w:cs="Arial"/>
        </w:rPr>
        <w:t xml:space="preserve">para su emisión, </w:t>
      </w:r>
      <w:r w:rsidR="00C20579" w:rsidRPr="004F4AF9">
        <w:rPr>
          <w:rFonts w:ascii="Palatino Linotype" w:hAnsi="Palatino Linotype" w:cs="Arial"/>
        </w:rPr>
        <w:t xml:space="preserve">lo que implica un procedimiento a petición del interesado, </w:t>
      </w:r>
      <w:r w:rsidRPr="004F4AF9">
        <w:rPr>
          <w:rFonts w:ascii="Palatino Linotype" w:hAnsi="Palatino Linotype" w:cs="Arial"/>
        </w:rPr>
        <w:t>no obstante,</w:t>
      </w:r>
      <w:r w:rsidR="00C20579" w:rsidRPr="004F4AF9">
        <w:rPr>
          <w:rFonts w:ascii="Palatino Linotype" w:hAnsi="Palatino Linotype" w:cs="Arial"/>
        </w:rPr>
        <w:t xml:space="preserve"> ambos documentos </w:t>
      </w:r>
      <w:r w:rsidRPr="004F4AF9">
        <w:rPr>
          <w:rFonts w:ascii="Palatino Linotype" w:hAnsi="Palatino Linotype" w:cs="Arial"/>
        </w:rPr>
        <w:t>contiene</w:t>
      </w:r>
      <w:r w:rsidR="00C20579" w:rsidRPr="004F4AF9">
        <w:rPr>
          <w:rFonts w:ascii="Palatino Linotype" w:hAnsi="Palatino Linotype" w:cs="Arial"/>
        </w:rPr>
        <w:t>n</w:t>
      </w:r>
      <w:r w:rsidRPr="004F4AF9">
        <w:rPr>
          <w:rFonts w:ascii="Palatino Linotype" w:hAnsi="Palatino Linotype" w:cs="Arial"/>
        </w:rPr>
        <w:t xml:space="preserve"> datos personales. </w:t>
      </w:r>
    </w:p>
    <w:p w:rsidR="00E711B2" w:rsidRPr="004F4AF9" w:rsidRDefault="00E711B2" w:rsidP="00E711B2">
      <w:pPr>
        <w:spacing w:before="240" w:after="240" w:line="360" w:lineRule="auto"/>
        <w:jc w:val="both"/>
        <w:rPr>
          <w:rFonts w:ascii="Palatino Linotype" w:hAnsi="Palatino Linotype" w:cs="Arial"/>
        </w:rPr>
      </w:pPr>
      <w:r w:rsidRPr="004F4AF9">
        <w:rPr>
          <w:rFonts w:ascii="Palatino Linotype" w:hAnsi="Palatino Linotype" w:cs="Arial"/>
        </w:rPr>
        <w:lastRenderedPageBreak/>
        <w:t>El certificado de No antecedentes penales contiene</w:t>
      </w:r>
      <w:r w:rsidR="000345C4" w:rsidRPr="004F4AF9">
        <w:rPr>
          <w:rFonts w:ascii="Palatino Linotype" w:hAnsi="Palatino Linotype" w:cs="Arial"/>
        </w:rPr>
        <w:t xml:space="preserve">, entre otros datos, </w:t>
      </w:r>
      <w:r w:rsidRPr="004F4AF9">
        <w:rPr>
          <w:rFonts w:ascii="Palatino Linotype" w:hAnsi="Palatino Linotype" w:cs="Arial"/>
        </w:rPr>
        <w:t>la fotografía</w:t>
      </w:r>
      <w:r w:rsidR="000345C4" w:rsidRPr="004F4AF9">
        <w:rPr>
          <w:rFonts w:ascii="Palatino Linotype" w:hAnsi="Palatino Linotype" w:cs="Arial"/>
        </w:rPr>
        <w:t xml:space="preserve"> de quien lo requiere, la cual </w:t>
      </w:r>
      <w:r w:rsidRPr="004F4AF9">
        <w:rPr>
          <w:rFonts w:ascii="Palatino Linotype" w:hAnsi="Palatino Linotype" w:cs="Arial"/>
        </w:rPr>
        <w:t xml:space="preserve">constituye un dato personal confidencial </w:t>
      </w:r>
      <w:r w:rsidRPr="004F4AF9">
        <w:rPr>
          <w:rFonts w:ascii="Palatino Linotype" w:eastAsia="Times New Roman" w:hAnsi="Palatino Linotype" w:cs="Arial"/>
          <w:lang w:eastAsia="es-MX"/>
        </w:rPr>
        <w:t xml:space="preserve">en términos de lo dispuesto en el </w:t>
      </w:r>
      <w:r w:rsidRPr="004F4AF9">
        <w:rPr>
          <w:rFonts w:ascii="Palatino Linotype" w:hAnsi="Palatino Linotype" w:cs="Arial"/>
        </w:rPr>
        <w:t>criterio 5/09</w:t>
      </w:r>
      <w:r w:rsidRPr="004F4AF9">
        <w:rPr>
          <w:rStyle w:val="Refdenotaalpie"/>
          <w:rFonts w:ascii="Palatino Linotype" w:hAnsi="Palatino Linotype" w:cs="Arial"/>
        </w:rPr>
        <w:footnoteReference w:id="1"/>
      </w:r>
      <w:r w:rsidRPr="004F4AF9">
        <w:rPr>
          <w:rFonts w:ascii="Palatino Linotype" w:hAnsi="Palatino Linotype" w:cs="Arial"/>
        </w:rPr>
        <w:t>, del entonces IFAI ahora INAI, en el artículo 143, fracción I de la Ley de Transparencia y Acceso a la Información Pública del</w:t>
      </w:r>
      <w:r w:rsidRPr="004F4AF9">
        <w:rPr>
          <w:rFonts w:ascii="Palatino Linotype" w:eastAsia="Times New Roman" w:hAnsi="Palatino Linotype" w:cs="Arial"/>
          <w:lang w:eastAsia="es-MX"/>
        </w:rPr>
        <w:t xml:space="preserve"> </w:t>
      </w:r>
      <w:r w:rsidRPr="004F4AF9">
        <w:rPr>
          <w:rFonts w:ascii="Palatino Linotype" w:hAnsi="Palatino Linotype" w:cs="Arial"/>
        </w:rPr>
        <w:t>Estado de México y Municipios, así como en el artículo 4, fracciones VII y VIII de la Ley de Protección de Datos Personales del Estado de México.</w:t>
      </w:r>
    </w:p>
    <w:p w:rsidR="00E711B2" w:rsidRPr="004F4AF9" w:rsidRDefault="00E711B2" w:rsidP="00E711B2">
      <w:pPr>
        <w:spacing w:before="240" w:after="240" w:line="360" w:lineRule="auto"/>
        <w:jc w:val="both"/>
        <w:rPr>
          <w:rFonts w:ascii="Palatino Linotype" w:hAnsi="Palatino Linotype"/>
          <w:i/>
        </w:rPr>
      </w:pPr>
      <w:r w:rsidRPr="004F4AF9">
        <w:rPr>
          <w:rFonts w:ascii="Palatino Linotype" w:hAnsi="Palatino Linotype"/>
        </w:rPr>
        <w:t xml:space="preserve">Por lo que respecta al domicilio de una persona física (domicilio particular), </w:t>
      </w:r>
      <w:r w:rsidR="001010BF" w:rsidRPr="004F4AF9">
        <w:rPr>
          <w:rFonts w:ascii="Palatino Linotype" w:hAnsi="Palatino Linotype"/>
        </w:rPr>
        <w:t xml:space="preserve">según lo establece </w:t>
      </w:r>
      <w:r w:rsidRPr="004F4AF9">
        <w:rPr>
          <w:rFonts w:ascii="Palatino Linotype" w:hAnsi="Palatino Linotype"/>
        </w:rPr>
        <w:t xml:space="preserve">el artículo 2.17 del Código Civil del Estado de México, </w:t>
      </w:r>
      <w:r w:rsidRPr="004F4AF9">
        <w:rPr>
          <w:rFonts w:ascii="Palatino Linotype" w:hAnsi="Palatino Linotype"/>
          <w:i/>
        </w:rPr>
        <w:t>“es el lugar donde reside con el propósito de establecerse en él; a falta de éste, el lugar en que tiene el principal asiento de sus negocios; y a falta de uno y otro, el lugar en que se halle”</w:t>
      </w:r>
    </w:p>
    <w:p w:rsidR="00E711B2" w:rsidRPr="004F4AF9" w:rsidRDefault="00E711B2" w:rsidP="00E711B2">
      <w:pPr>
        <w:spacing w:before="240" w:after="240" w:line="360" w:lineRule="auto"/>
        <w:jc w:val="both"/>
        <w:rPr>
          <w:rFonts w:ascii="Palatino Linotype" w:hAnsi="Palatino Linotype"/>
        </w:rPr>
      </w:pPr>
      <w:r w:rsidRPr="004F4AF9">
        <w:rPr>
          <w:rFonts w:ascii="Palatino Linotype" w:hAnsi="Palatino Linotype"/>
        </w:rPr>
        <w:t>En ese sentido, el dato sobre el domicilio particular es información de carácter confidencial, en términos de lo dispuesto por la fracción I del artículo 143 de la Ley de la materia, así como el artículo 4, fracciones XI y XII de la Ley de Protección de Datos Personales del Estado de México, en virtud de que constituye información que incide en la intimidad de un individuo identificado.</w:t>
      </w:r>
    </w:p>
    <w:p w:rsidR="00E711B2" w:rsidRPr="004F4AF9" w:rsidRDefault="00E711B2" w:rsidP="00E711B2">
      <w:pPr>
        <w:spacing w:before="240" w:after="240" w:line="360" w:lineRule="auto"/>
        <w:jc w:val="both"/>
        <w:rPr>
          <w:rFonts w:ascii="Palatino Linotype" w:hAnsi="Palatino Linotype"/>
        </w:rPr>
      </w:pPr>
      <w:r w:rsidRPr="004F4AF9">
        <w:rPr>
          <w:rFonts w:ascii="Palatino Linotype" w:hAnsi="Palatino Linotype"/>
        </w:rPr>
        <w:lastRenderedPageBreak/>
        <w:t xml:space="preserve">Luego entonces, se puede argumentar que si bien el </w:t>
      </w:r>
      <w:r w:rsidRPr="004F4AF9">
        <w:rPr>
          <w:rFonts w:ascii="Palatino Linotype" w:hAnsi="Palatino Linotype"/>
          <w:b/>
        </w:rPr>
        <w:t>certificado de antecedentes no penales</w:t>
      </w:r>
      <w:r w:rsidRPr="004F4AF9">
        <w:rPr>
          <w:rFonts w:ascii="Palatino Linotype" w:hAnsi="Palatino Linotype"/>
        </w:rPr>
        <w:t xml:space="preserve"> es un documento público al ser emitido por un servidor público dotado de atribuciones para tal efecto, no se debe perder de vista que de conformidad con lo establecido en</w:t>
      </w:r>
      <w:r w:rsidRPr="004F4AF9">
        <w:rPr>
          <w:rFonts w:ascii="Palatino Linotype" w:hAnsi="Palatino Linotype"/>
          <w:b/>
        </w:rPr>
        <w:t xml:space="preserve"> </w:t>
      </w:r>
      <w:r w:rsidRPr="004F4AF9">
        <w:rPr>
          <w:rFonts w:ascii="Palatino Linotype" w:hAnsi="Palatino Linotype" w:cs="Arial"/>
          <w:bCs/>
          <w:shd w:val="clear" w:color="auto" w:fill="FFFFFF"/>
        </w:rPr>
        <w:t xml:space="preserve">la obra </w:t>
      </w:r>
      <w:r w:rsidRPr="004F4AF9">
        <w:rPr>
          <w:rFonts w:ascii="Palatino Linotype" w:hAnsi="Palatino Linotype"/>
        </w:rPr>
        <w:t xml:space="preserve">propuesta por el Doctor José Ramón Cossío Díaz, Ministro de la Suprema Corte de Justicia de la Nación, intitulada “La Transparencia y el Acceso a la Información en los Expedientes Judiciales”, cuyo principal objetivo consiste en unificar y complementar los criterios emitidos por el Alto Tribunal y el entonces Instituto Federal de Acceso a la Información y Protección de Datos, organismo autónomo, en materia de transparencia, bajo la incertidumbre para proporcionar la información contenida en los expedientes judiciales ante la solicitud de los particulares, es decir, es una herramienta práctica que coadyuva en la tarea de atender el ejercicio de los derechos de acceso a la información y protección de datos, en la referida obra concretamente en el tema identificado con el numeral 138. Constancia de antecedentes penales, página 107 y la cual establece que: </w:t>
      </w:r>
    </w:p>
    <w:p w:rsidR="00E711B2" w:rsidRPr="004F4AF9" w:rsidRDefault="00E711B2" w:rsidP="00E97CC5">
      <w:pPr>
        <w:spacing w:before="240" w:after="240" w:line="240" w:lineRule="auto"/>
        <w:ind w:left="284" w:right="281"/>
        <w:jc w:val="both"/>
        <w:rPr>
          <w:rFonts w:ascii="Palatino Linotype" w:hAnsi="Palatino Linotype"/>
          <w:u w:val="single"/>
        </w:rPr>
      </w:pPr>
      <w:r w:rsidRPr="004F4AF9">
        <w:rPr>
          <w:rFonts w:ascii="Palatino Linotype" w:hAnsi="Palatino Linotype"/>
        </w:rPr>
        <w:t>“</w:t>
      </w:r>
      <w:r w:rsidRPr="004F4AF9">
        <w:rPr>
          <w:rFonts w:ascii="Palatino Linotype" w:hAnsi="Palatino Linotype"/>
          <w:b/>
          <w:i/>
        </w:rPr>
        <w:t>la constancia de antecedentes penales es el documento expedido por la autoridad competente para acreditar la existencia o inexistencia de delitos cometidos por los individuos y la condena correspondiente</w:t>
      </w:r>
      <w:r w:rsidRPr="004F4AF9">
        <w:rPr>
          <w:rFonts w:ascii="Palatino Linotype" w:hAnsi="Palatino Linotype"/>
          <w:i/>
        </w:rPr>
        <w:t xml:space="preserve">, en su caso. </w:t>
      </w:r>
      <w:r w:rsidRPr="004F4AF9">
        <w:rPr>
          <w:rFonts w:ascii="Palatino Linotype" w:hAnsi="Palatino Linotype"/>
          <w:b/>
          <w:i/>
        </w:rPr>
        <w:t>La certificación corresponde a la policía y tiene importancia para determinar la reincidencia</w:t>
      </w:r>
      <w:r w:rsidRPr="004F4AF9">
        <w:rPr>
          <w:rFonts w:ascii="Palatino Linotype" w:hAnsi="Palatino Linotype"/>
          <w:i/>
        </w:rPr>
        <w:t xml:space="preserve"> (artículo 20 del Código Penal Federal), </w:t>
      </w:r>
      <w:r w:rsidRPr="004F4AF9">
        <w:rPr>
          <w:rFonts w:ascii="Palatino Linotype" w:hAnsi="Palatino Linotype"/>
          <w:b/>
          <w:i/>
        </w:rPr>
        <w:t>la habitualidad</w:t>
      </w:r>
      <w:r w:rsidRPr="004F4AF9">
        <w:rPr>
          <w:rFonts w:ascii="Palatino Linotype" w:hAnsi="Palatino Linotype"/>
          <w:i/>
        </w:rPr>
        <w:t xml:space="preserve"> (artículo 21 del Código Penal Federal</w:t>
      </w:r>
      <w:r w:rsidRPr="004F4AF9">
        <w:rPr>
          <w:rFonts w:ascii="Palatino Linotype" w:hAnsi="Palatino Linotype"/>
          <w:b/>
          <w:i/>
        </w:rPr>
        <w:t xml:space="preserve">) y la posibilidad de caución </w:t>
      </w:r>
      <w:r w:rsidRPr="004F4AF9">
        <w:rPr>
          <w:rFonts w:ascii="Palatino Linotype" w:hAnsi="Palatino Linotype"/>
          <w:i/>
        </w:rPr>
        <w:t xml:space="preserve">(artículo 402 del Código Federal de Procedimientos Penales), al respecto se precisa que en materia de transparencia y acceso a la información, </w:t>
      </w:r>
      <w:r w:rsidRPr="004F4AF9">
        <w:rPr>
          <w:rFonts w:ascii="Palatino Linotype" w:hAnsi="Palatino Linotype"/>
          <w:i/>
          <w:u w:val="single"/>
        </w:rPr>
        <w:t>este acto jurídico contiene información confidencial pues se refiere a datos personales de particulares.</w:t>
      </w:r>
      <w:r w:rsidRPr="004F4AF9">
        <w:rPr>
          <w:rFonts w:ascii="Palatino Linotype" w:hAnsi="Palatino Linotype"/>
          <w:u w:val="single"/>
        </w:rPr>
        <w:t xml:space="preserve"> </w:t>
      </w:r>
    </w:p>
    <w:p w:rsidR="00E711B2" w:rsidRPr="004F4AF9" w:rsidRDefault="00E711B2" w:rsidP="00E711B2">
      <w:pPr>
        <w:spacing w:before="240" w:after="240" w:line="360" w:lineRule="auto"/>
        <w:jc w:val="both"/>
        <w:rPr>
          <w:rFonts w:ascii="Palatino Linotype" w:hAnsi="Palatino Linotype"/>
        </w:rPr>
      </w:pPr>
      <w:r w:rsidRPr="004F4AF9">
        <w:rPr>
          <w:rFonts w:ascii="Palatino Linotype" w:hAnsi="Palatino Linotype"/>
        </w:rPr>
        <w:t>En este sentido, de acuerdo al artículo 116</w:t>
      </w:r>
      <w:r w:rsidR="0055086F" w:rsidRPr="004F4AF9">
        <w:rPr>
          <w:rFonts w:ascii="Palatino Linotype" w:hAnsi="Palatino Linotype"/>
        </w:rPr>
        <w:t>, párrafo primero</w:t>
      </w:r>
      <w:r w:rsidRPr="004F4AF9">
        <w:rPr>
          <w:rFonts w:ascii="Palatino Linotype" w:hAnsi="Palatino Linotype"/>
        </w:rPr>
        <w:t xml:space="preserve"> de la Ley General de Trasparencia, debe ser clasificado, por regla general, como confidencial, asimismo en el artículo 143</w:t>
      </w:r>
      <w:r w:rsidR="0055086F" w:rsidRPr="004F4AF9">
        <w:rPr>
          <w:rFonts w:ascii="Palatino Linotype" w:hAnsi="Palatino Linotype"/>
        </w:rPr>
        <w:t>, fracción I</w:t>
      </w:r>
      <w:r w:rsidRPr="004F4AF9">
        <w:rPr>
          <w:rFonts w:ascii="Palatino Linotype" w:hAnsi="Palatino Linotype"/>
        </w:rPr>
        <w:t xml:space="preserve"> de la Ley de Transparencia y acceso a la Información Pública del Estado de México y Municipios. </w:t>
      </w:r>
    </w:p>
    <w:p w:rsidR="00E711B2" w:rsidRPr="004F4AF9" w:rsidRDefault="0055086F" w:rsidP="00485538">
      <w:pPr>
        <w:spacing w:before="240" w:after="240" w:line="240" w:lineRule="auto"/>
        <w:ind w:left="284" w:right="281"/>
        <w:jc w:val="both"/>
        <w:rPr>
          <w:rFonts w:ascii="Palatino Linotype" w:hAnsi="Palatino Linotype"/>
          <w:i/>
        </w:rPr>
      </w:pPr>
      <w:r w:rsidRPr="004F4AF9">
        <w:rPr>
          <w:rFonts w:ascii="Palatino Linotype" w:hAnsi="Palatino Linotype"/>
          <w:bCs/>
          <w:i/>
        </w:rPr>
        <w:lastRenderedPageBreak/>
        <w:t>“</w:t>
      </w:r>
      <w:r w:rsidR="00E711B2" w:rsidRPr="004F4AF9">
        <w:rPr>
          <w:rFonts w:ascii="Palatino Linotype" w:hAnsi="Palatino Linotype"/>
          <w:b/>
          <w:bCs/>
          <w:i/>
        </w:rPr>
        <w:t xml:space="preserve">Artículo 116. </w:t>
      </w:r>
      <w:r w:rsidR="00E711B2" w:rsidRPr="004F4AF9">
        <w:rPr>
          <w:rFonts w:ascii="Palatino Linotype" w:hAnsi="Palatino Linotype"/>
          <w:i/>
        </w:rPr>
        <w:t>Se considera información confidencial la que contiene datos personales concernientes a una persona identificada o identificable.</w:t>
      </w:r>
    </w:p>
    <w:p w:rsidR="0055086F" w:rsidRPr="004F4AF9" w:rsidRDefault="0055086F" w:rsidP="00485538">
      <w:pPr>
        <w:spacing w:before="240" w:after="240" w:line="240" w:lineRule="auto"/>
        <w:ind w:left="284" w:right="281"/>
        <w:jc w:val="both"/>
        <w:rPr>
          <w:rFonts w:ascii="Palatino Linotype" w:hAnsi="Palatino Linotype"/>
          <w:i/>
        </w:rPr>
      </w:pPr>
      <w:r w:rsidRPr="004F4AF9">
        <w:rPr>
          <w:rFonts w:ascii="Palatino Linotype" w:hAnsi="Palatino Linotype"/>
          <w:bCs/>
          <w:i/>
        </w:rPr>
        <w:t>…”</w:t>
      </w:r>
    </w:p>
    <w:p w:rsidR="00E711B2" w:rsidRPr="004F4AF9" w:rsidRDefault="0055086F" w:rsidP="00485538">
      <w:pPr>
        <w:spacing w:before="240" w:after="240" w:line="240" w:lineRule="auto"/>
        <w:ind w:left="284" w:right="281"/>
        <w:jc w:val="both"/>
        <w:rPr>
          <w:rFonts w:ascii="Palatino Linotype" w:hAnsi="Palatino Linotype"/>
          <w:i/>
        </w:rPr>
      </w:pPr>
      <w:r w:rsidRPr="004F4AF9">
        <w:rPr>
          <w:rFonts w:ascii="Palatino Linotype" w:hAnsi="Palatino Linotype"/>
          <w:i/>
        </w:rPr>
        <w:t>“</w:t>
      </w:r>
      <w:r w:rsidR="00E711B2" w:rsidRPr="004F4AF9">
        <w:rPr>
          <w:rFonts w:ascii="Palatino Linotype" w:hAnsi="Palatino Linotype"/>
          <w:b/>
          <w:i/>
        </w:rPr>
        <w:t xml:space="preserve">Artículo 143.- </w:t>
      </w:r>
      <w:r w:rsidR="00E711B2" w:rsidRPr="004F4AF9">
        <w:rPr>
          <w:rFonts w:ascii="Palatino Linotype" w:hAnsi="Palatino Linotype"/>
          <w:i/>
        </w:rPr>
        <w:t xml:space="preserve">Para los efectos de esta ley se considera información confidencial la clasificada como tal, de manera permanente por su naturaleza cuando: </w:t>
      </w:r>
    </w:p>
    <w:p w:rsidR="00E711B2" w:rsidRPr="004F4AF9" w:rsidRDefault="00E711B2" w:rsidP="00485538">
      <w:pPr>
        <w:pStyle w:val="Prrafodelista"/>
        <w:numPr>
          <w:ilvl w:val="0"/>
          <w:numId w:val="11"/>
        </w:numPr>
        <w:spacing w:before="240" w:after="240"/>
        <w:ind w:left="567" w:right="281" w:hanging="141"/>
        <w:jc w:val="both"/>
        <w:rPr>
          <w:rFonts w:ascii="Palatino Linotype" w:hAnsi="Palatino Linotype"/>
          <w:i/>
          <w:sz w:val="22"/>
          <w:szCs w:val="22"/>
        </w:rPr>
      </w:pPr>
      <w:r w:rsidRPr="004F4AF9">
        <w:rPr>
          <w:rFonts w:ascii="Palatino Linotype" w:hAnsi="Palatino Linotype"/>
          <w:i/>
          <w:sz w:val="22"/>
          <w:szCs w:val="22"/>
        </w:rPr>
        <w:t>Se refiera a la información privada y los datos personales concernientes a una persona física o jurídico colectiva identificada o identificable.</w:t>
      </w:r>
    </w:p>
    <w:p w:rsidR="0055086F" w:rsidRPr="004F4AF9" w:rsidRDefault="0055086F" w:rsidP="00485538">
      <w:pPr>
        <w:spacing w:before="240" w:after="240" w:line="240" w:lineRule="auto"/>
        <w:ind w:left="284" w:right="281"/>
        <w:jc w:val="both"/>
        <w:rPr>
          <w:rFonts w:ascii="Palatino Linotype" w:hAnsi="Palatino Linotype"/>
          <w:i/>
        </w:rPr>
      </w:pPr>
      <w:r w:rsidRPr="004F4AF9">
        <w:rPr>
          <w:rFonts w:ascii="Palatino Linotype" w:hAnsi="Palatino Linotype"/>
          <w:i/>
        </w:rPr>
        <w:t>…”</w:t>
      </w:r>
    </w:p>
    <w:p w:rsidR="00E711B2" w:rsidRPr="004F4AF9" w:rsidRDefault="00E711B2" w:rsidP="00E711B2">
      <w:pPr>
        <w:spacing w:before="240" w:after="360" w:line="360" w:lineRule="auto"/>
        <w:jc w:val="both"/>
        <w:rPr>
          <w:rFonts w:ascii="Palatino Linotype" w:eastAsia="Calibri" w:hAnsi="Palatino Linotype" w:cs="Arial"/>
          <w:lang w:val="es-ES"/>
        </w:rPr>
      </w:pPr>
      <w:r w:rsidRPr="004F4AF9">
        <w:rPr>
          <w:rFonts w:ascii="Palatino Linotype" w:eastAsia="Calibri" w:hAnsi="Palatino Linotype" w:cs="Arial"/>
          <w:lang w:val="es-ES"/>
        </w:rPr>
        <w:t xml:space="preserve">Por lo anteriormente argumentado, </w:t>
      </w:r>
      <w:r w:rsidRPr="004F4AF9">
        <w:rPr>
          <w:rFonts w:ascii="Palatino Linotype" w:eastAsia="Calibri" w:hAnsi="Palatino Linotype" w:cs="Arial"/>
        </w:rPr>
        <w:t>se advierte que los documentos en donde consten los antecedentes no penales, constituye un documento que de ser entregado, aun en versión pública, como se ordena en el inciso “</w:t>
      </w:r>
      <w:r w:rsidR="0055086F" w:rsidRPr="004F4AF9">
        <w:rPr>
          <w:rFonts w:ascii="Palatino Linotype" w:eastAsia="Calibri" w:hAnsi="Palatino Linotype" w:cs="Arial"/>
        </w:rPr>
        <w:t>c</w:t>
      </w:r>
      <w:r w:rsidRPr="004F4AF9">
        <w:rPr>
          <w:rFonts w:ascii="Palatino Linotype" w:eastAsia="Calibri" w:hAnsi="Palatino Linotype" w:cs="Arial"/>
        </w:rPr>
        <w:t xml:space="preserve">”, </w:t>
      </w:r>
      <w:r w:rsidR="0055086F" w:rsidRPr="004F4AF9">
        <w:rPr>
          <w:rFonts w:ascii="Palatino Linotype" w:eastAsia="Calibri" w:hAnsi="Palatino Linotype" w:cs="Arial"/>
        </w:rPr>
        <w:t>SEGUNDO</w:t>
      </w:r>
      <w:r w:rsidRPr="004F4AF9">
        <w:rPr>
          <w:rFonts w:ascii="Palatino Linotype" w:eastAsia="Calibri" w:hAnsi="Palatino Linotype" w:cs="Arial"/>
        </w:rPr>
        <w:t xml:space="preserve"> punto resolutivo de la resolución materia del voto, el contenido estaría testado en su mayoría, dejándose observar únicamente lo correspondiente al formato principal o básico de los certificados de No Antecedentes Penales, lo cual alude a un documento que contiene información irrelevante, esto en razón de que la información que fuese testada constituye información referente a la esfera privada de su titular, </w:t>
      </w:r>
      <w:r w:rsidRPr="004F4AF9">
        <w:rPr>
          <w:rFonts w:ascii="Palatino Linotype" w:eastAsia="Times New Roman" w:hAnsi="Palatino Linotype" w:cs="Arial"/>
          <w:lang w:eastAsia="es-MX"/>
        </w:rPr>
        <w:t>ya que se trata de características físicas que permiten la identificación de un individuo, así como lo referente a su conducta delictiva, que en su caso podría otorga</w:t>
      </w:r>
      <w:r w:rsidRPr="004F4AF9">
        <w:rPr>
          <w:rFonts w:ascii="Palatino Linotype" w:eastAsia="Calibri" w:hAnsi="Palatino Linotype" w:cs="Arial"/>
          <w:lang w:val="es-ES"/>
        </w:rPr>
        <w:t xml:space="preserve">r acceso a terceros y posteriormente se podría derivar un mal uso de información, aunado a que de ella no se desprende el ejercicio de las atribuciones que tenga el titular como servidor público o bien, la aplicación de recursos públicos, por esta situación debe considerarse información confidencial en términos de los artículos 143, fracción I de la Ley de Transparencia del Estado de México y Municipios y </w:t>
      </w:r>
      <w:r w:rsidRPr="004F4AF9">
        <w:rPr>
          <w:rFonts w:ascii="Palatino Linotype" w:eastAsia="Calibri" w:hAnsi="Palatino Linotype" w:cs="Arial"/>
          <w:bCs/>
          <w:lang w:val="es-ES"/>
        </w:rPr>
        <w:t xml:space="preserve">4, fracciones XI y XII de </w:t>
      </w:r>
      <w:r w:rsidRPr="004F4AF9">
        <w:rPr>
          <w:rFonts w:ascii="Palatino Linotype" w:eastAsia="Calibri" w:hAnsi="Palatino Linotype" w:cs="Arial"/>
          <w:lang w:val="es-ES"/>
        </w:rPr>
        <w:t xml:space="preserve">la Ley de Protección de Datos Personales en Posesión de Sujetos Obligados del Estado de México y Municipios. </w:t>
      </w:r>
    </w:p>
    <w:p w:rsidR="00E97CC5" w:rsidRPr="00D5593C" w:rsidRDefault="00E97CC5" w:rsidP="00E97CC5">
      <w:pPr>
        <w:spacing w:line="360" w:lineRule="auto"/>
        <w:jc w:val="both"/>
        <w:rPr>
          <w:rFonts w:ascii="Palatino Linotype" w:hAnsi="Palatino Linotype"/>
          <w:b/>
        </w:rPr>
      </w:pPr>
      <w:r w:rsidRPr="00D5593C">
        <w:rPr>
          <w:rFonts w:ascii="Palatino Linotype" w:hAnsi="Palatino Linotype" w:cs="Arial"/>
        </w:rPr>
        <w:lastRenderedPageBreak/>
        <w:t xml:space="preserve">Consideraciones de hecho y derecho que constituyen </w:t>
      </w:r>
      <w:r w:rsidRPr="00D5593C">
        <w:rPr>
          <w:rFonts w:ascii="Palatino Linotype" w:hAnsi="Palatino Linotype"/>
        </w:rPr>
        <w:t xml:space="preserve">la emisión del presente Voto Particular, relacionado con la resolución del recurso de revisión referido. </w:t>
      </w:r>
    </w:p>
    <w:p w:rsidR="00E711B2" w:rsidRPr="00C22C8F" w:rsidRDefault="00E711B2" w:rsidP="00E97CC5">
      <w:pPr>
        <w:spacing w:before="240" w:after="240" w:line="360" w:lineRule="auto"/>
        <w:jc w:val="both"/>
        <w:rPr>
          <w:rFonts w:ascii="Palatino Linotype" w:hAnsi="Palatino Linotype"/>
          <w:b/>
          <w:highlight w:val="cyan"/>
        </w:rPr>
      </w:pPr>
    </w:p>
    <w:p w:rsidR="00E711B2" w:rsidRPr="00C22C8F" w:rsidRDefault="00E711B2" w:rsidP="00E711B2">
      <w:pPr>
        <w:spacing w:after="0" w:line="240" w:lineRule="auto"/>
        <w:jc w:val="center"/>
        <w:rPr>
          <w:rFonts w:ascii="Palatino Linotype" w:hAnsi="Palatino Linotype"/>
          <w:b/>
          <w:highlight w:val="cyan"/>
        </w:rPr>
      </w:pPr>
    </w:p>
    <w:p w:rsidR="00E711B2" w:rsidRPr="00C22C8F" w:rsidRDefault="00E711B2" w:rsidP="00E711B2">
      <w:pPr>
        <w:spacing w:after="0" w:line="240" w:lineRule="auto"/>
        <w:jc w:val="center"/>
        <w:rPr>
          <w:rFonts w:ascii="Palatino Linotype" w:hAnsi="Palatino Linotype"/>
          <w:b/>
          <w:highlight w:val="cyan"/>
        </w:rPr>
      </w:pPr>
    </w:p>
    <w:p w:rsidR="00E711B2" w:rsidRPr="00C22C8F" w:rsidRDefault="00E711B2" w:rsidP="00E711B2">
      <w:pPr>
        <w:spacing w:after="0" w:line="240" w:lineRule="auto"/>
        <w:jc w:val="center"/>
        <w:rPr>
          <w:rFonts w:ascii="Palatino Linotype" w:hAnsi="Palatino Linotype"/>
          <w:b/>
          <w:highlight w:val="cyan"/>
        </w:rPr>
      </w:pPr>
    </w:p>
    <w:p w:rsidR="00E711B2" w:rsidRPr="004F4AF9" w:rsidRDefault="00E711B2" w:rsidP="00E711B2">
      <w:pPr>
        <w:spacing w:after="0" w:line="240" w:lineRule="auto"/>
        <w:jc w:val="center"/>
        <w:rPr>
          <w:rFonts w:ascii="Palatino Linotype" w:hAnsi="Palatino Linotype"/>
          <w:b/>
        </w:rPr>
      </w:pPr>
    </w:p>
    <w:p w:rsidR="00E711B2" w:rsidRPr="004F4AF9" w:rsidRDefault="00E711B2" w:rsidP="00E711B2">
      <w:pPr>
        <w:spacing w:after="0" w:line="240" w:lineRule="auto"/>
        <w:jc w:val="center"/>
        <w:rPr>
          <w:rFonts w:ascii="Palatino Linotype" w:hAnsi="Palatino Linotype"/>
          <w:b/>
        </w:rPr>
      </w:pPr>
      <w:r w:rsidRPr="004F4AF9">
        <w:rPr>
          <w:rFonts w:ascii="Palatino Linotype" w:hAnsi="Palatino Linotype"/>
          <w:b/>
        </w:rPr>
        <w:t>Javier Martínez Cruz</w:t>
      </w:r>
    </w:p>
    <w:p w:rsidR="00E711B2" w:rsidRPr="004F4AF9" w:rsidRDefault="00E711B2" w:rsidP="00E711B2">
      <w:pPr>
        <w:spacing w:after="0" w:line="240" w:lineRule="auto"/>
        <w:jc w:val="center"/>
        <w:rPr>
          <w:rFonts w:ascii="Palatino Linotype" w:hAnsi="Palatino Linotype"/>
          <w:b/>
        </w:rPr>
      </w:pPr>
      <w:r w:rsidRPr="004F4AF9">
        <w:rPr>
          <w:rFonts w:ascii="Palatino Linotype" w:hAnsi="Palatino Linotype"/>
          <w:b/>
        </w:rPr>
        <w:t>Comisionado</w:t>
      </w:r>
    </w:p>
    <w:p w:rsidR="00E711B2" w:rsidRPr="004F4AF9" w:rsidRDefault="00074409" w:rsidP="00E711B2">
      <w:pPr>
        <w:spacing w:after="0" w:line="240" w:lineRule="auto"/>
        <w:jc w:val="center"/>
        <w:rPr>
          <w:rFonts w:ascii="Palatino Linotype" w:hAnsi="Palatino Linotype"/>
          <w:b/>
        </w:rPr>
      </w:pPr>
      <w:r>
        <w:rPr>
          <w:rFonts w:ascii="Palatino Linotype" w:hAnsi="Palatino Linotype"/>
        </w:rPr>
        <w:t>(Rú</w:t>
      </w:r>
      <w:bookmarkStart w:id="0" w:name="_GoBack"/>
      <w:bookmarkEnd w:id="0"/>
      <w:r>
        <w:rPr>
          <w:rFonts w:ascii="Palatino Linotype" w:hAnsi="Palatino Linotype"/>
        </w:rPr>
        <w:t>brica)</w:t>
      </w:r>
    </w:p>
    <w:p w:rsidR="00E711B2" w:rsidRPr="004F4AF9" w:rsidRDefault="00E711B2" w:rsidP="00E711B2">
      <w:pPr>
        <w:spacing w:before="120" w:after="120" w:line="360" w:lineRule="auto"/>
        <w:jc w:val="both"/>
        <w:rPr>
          <w:rFonts w:ascii="Palatino Linotype" w:eastAsia="MS Mincho" w:hAnsi="Palatino Linotype" w:cs="Times New Roman"/>
          <w:lang w:val="es-ES" w:eastAsia="es-ES"/>
        </w:rPr>
      </w:pPr>
    </w:p>
    <w:sectPr w:rsidR="00E711B2" w:rsidRPr="004F4AF9" w:rsidSect="00DC32F9">
      <w:headerReference w:type="even" r:id="rId9"/>
      <w:headerReference w:type="default" r:id="rId10"/>
      <w:footerReference w:type="default" r:id="rId11"/>
      <w:headerReference w:type="first" r:id="rId12"/>
      <w:pgSz w:w="12240" w:h="15840"/>
      <w:pgMar w:top="1871" w:right="1327" w:bottom="2410"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144" w:rsidRDefault="00130144" w:rsidP="00907451">
      <w:pPr>
        <w:spacing w:after="0" w:line="240" w:lineRule="auto"/>
      </w:pPr>
      <w:r>
        <w:separator/>
      </w:r>
    </w:p>
  </w:endnote>
  <w:endnote w:type="continuationSeparator" w:id="0">
    <w:p w:rsidR="00130144" w:rsidRDefault="00130144"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74409">
      <w:rPr>
        <w:rFonts w:ascii="Arial" w:hAnsi="Arial" w:cs="Arial"/>
        <w:b/>
        <w:bCs/>
        <w:noProof/>
        <w:sz w:val="20"/>
        <w:szCs w:val="20"/>
      </w:rPr>
      <w:t>11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74409">
      <w:rPr>
        <w:rFonts w:ascii="Arial" w:hAnsi="Arial" w:cs="Arial"/>
        <w:b/>
        <w:bCs/>
        <w:noProof/>
        <w:sz w:val="20"/>
        <w:szCs w:val="20"/>
      </w:rPr>
      <w:t>12</w:t>
    </w:r>
    <w:r w:rsidRPr="00986599">
      <w:rPr>
        <w:rFonts w:ascii="Arial" w:hAnsi="Arial" w:cs="Arial"/>
        <w:b/>
        <w:bCs/>
        <w:sz w:val="20"/>
        <w:szCs w:val="20"/>
      </w:rPr>
      <w:fldChar w:fldCharType="end"/>
    </w:r>
  </w:p>
  <w:p w:rsidR="00D758BE" w:rsidRDefault="00130144"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144" w:rsidRDefault="00130144" w:rsidP="00907451">
      <w:pPr>
        <w:spacing w:after="0" w:line="240" w:lineRule="auto"/>
      </w:pPr>
      <w:r>
        <w:separator/>
      </w:r>
    </w:p>
  </w:footnote>
  <w:footnote w:type="continuationSeparator" w:id="0">
    <w:p w:rsidR="00130144" w:rsidRDefault="00130144" w:rsidP="00907451">
      <w:pPr>
        <w:spacing w:after="0" w:line="240" w:lineRule="auto"/>
      </w:pPr>
      <w:r>
        <w:continuationSeparator/>
      </w:r>
    </w:p>
  </w:footnote>
  <w:footnote w:id="1">
    <w:p w:rsidR="00E711B2" w:rsidRPr="009D3B4F" w:rsidRDefault="00E711B2" w:rsidP="00E711B2">
      <w:pPr>
        <w:pStyle w:val="Textonotapie"/>
        <w:jc w:val="both"/>
        <w:rPr>
          <w:rFonts w:ascii="Palatino Linotype" w:hAnsi="Palatino Linotype"/>
          <w:i/>
          <w:sz w:val="18"/>
          <w:szCs w:val="18"/>
        </w:rPr>
      </w:pPr>
      <w:r>
        <w:rPr>
          <w:rStyle w:val="Refdenotaalpie"/>
        </w:rPr>
        <w:footnoteRef/>
      </w:r>
      <w:r w:rsidRPr="00DE7A21">
        <w:rPr>
          <w:sz w:val="12"/>
        </w:rPr>
        <w:t xml:space="preserve"> </w:t>
      </w:r>
      <w:r w:rsidRPr="009D3B4F">
        <w:rPr>
          <w:rFonts w:ascii="Palatino Linotype" w:hAnsi="Palatino Linotype"/>
          <w:b/>
          <w:i/>
          <w:sz w:val="18"/>
          <w:szCs w:val="18"/>
        </w:rPr>
        <w:t>Fotografía de servidores públicos es un dato personal confidencial.</w:t>
      </w:r>
      <w:r w:rsidRPr="009D3B4F">
        <w:rPr>
          <w:rFonts w:ascii="Palatino Linotype" w:hAnsi="Palatino Linotype"/>
          <w:i/>
          <w:sz w:val="18"/>
          <w:szCs w:val="18"/>
        </w:rPr>
        <w:t xml:space="preserve"> En términos de lo dispuesto en el artículo 18, fracción II de la Ley Federal de Transparencia y Acceso a la Información Pública Gubernamental, se considera información confidencial los datos personales que requieren el consentimiento de los individuos para su difusión, distribución o comercialización. Por su parte, según dispone el artículo 3, fracción II de la Ley Federal de Transparencia y Acceso a la Información Pública Gubernamental, dato personal es toda aquella información concerniente a una persona física identificada o identificable. En este sentido,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En consecuencia, las fotografías constituyen datos personales y, como tales, susceptibles de clasificarse con el carácter de confidenciales. En esa tesitura, las fotografías de servidores públicos deben clasificarse con el carácter de confidenciales, considerando que no se advierte la existencia de algún elemento -reflejo del desempeño, idoneidad para ocupar un cargo, entre otros- que justifique su publicidad. Lo anterior es así, salvo en aquellos casos en los que se detecten circunstancias particulares que ameriten un tratamiento singular del caso en cuestión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13014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218954" o:spid="_x0000_s2054" type="#_x0000_t136" style="position:absolute;margin-left:0;margin-top:0;width:547.2pt;height:82.05pt;rotation:315;z-index:-25165465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r w:rsidR="00057319">
      <w:rPr>
        <w:noProof/>
        <w:lang w:val="es-MX" w:eastAsia="es-MX"/>
      </w:rPr>
      <mc:AlternateContent>
        <mc:Choice Requires="wps">
          <w:drawing>
            <wp:anchor distT="0" distB="0" distL="114300" distR="114300" simplePos="0" relativeHeight="251656704"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CA1049" w:rsidP="007263BB">
    <w:pPr>
      <w:pStyle w:val="Encabezado"/>
      <w:jc w:val="right"/>
      <w:rPr>
        <w:rFonts w:ascii="Arial" w:hAnsi="Arial" w:cs="Arial"/>
        <w:sz w:val="20"/>
        <w:szCs w:val="20"/>
      </w:rPr>
    </w:pPr>
    <w:r>
      <w:rPr>
        <w:noProof/>
        <w:lang w:val="es-MX" w:eastAsia="es-MX"/>
      </w:rPr>
      <w:drawing>
        <wp:anchor distT="0" distB="0" distL="114300" distR="114300" simplePos="0" relativeHeight="251657728" behindDoc="1" locked="0" layoutInCell="1" allowOverlap="1" wp14:anchorId="58FA3A98" wp14:editId="12A6B8FB">
          <wp:simplePos x="0" y="0"/>
          <wp:positionH relativeFrom="column">
            <wp:posOffset>-1057275</wp:posOffset>
          </wp:positionH>
          <wp:positionV relativeFrom="paragraph">
            <wp:posOffset>-449580</wp:posOffset>
          </wp:positionV>
          <wp:extent cx="7510145" cy="9883775"/>
          <wp:effectExtent l="0" t="0" r="0" b="3175"/>
          <wp:wrapNone/>
          <wp:docPr id="5" name="Imagen 5"/>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r w:rsidR="0013014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218955" o:spid="_x0000_s2055" type="#_x0000_t136" style="position:absolute;left:0;text-align:left;margin-left:0;margin-top:0;width:547.2pt;height:82.05pt;rotation:315;z-index:-25165260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D758BE" w:rsidRDefault="00130144" w:rsidP="007263BB">
    <w:pPr>
      <w:pStyle w:val="Encabezado"/>
      <w:jc w:val="right"/>
      <w:rPr>
        <w:rFonts w:ascii="Arial" w:hAnsi="Arial" w:cs="Arial"/>
        <w:sz w:val="20"/>
        <w:szCs w:val="20"/>
      </w:rPr>
    </w:pPr>
  </w:p>
  <w:p w:rsidR="00D758BE" w:rsidRDefault="00130144" w:rsidP="007263BB">
    <w:pPr>
      <w:pStyle w:val="Encabezado"/>
      <w:jc w:val="right"/>
      <w:rPr>
        <w:rFonts w:ascii="Arial" w:hAnsi="Arial" w:cs="Arial"/>
        <w:sz w:val="20"/>
        <w:szCs w:val="20"/>
      </w:rPr>
    </w:pPr>
  </w:p>
  <w:p w:rsidR="00706042" w:rsidRPr="00563D0F" w:rsidRDefault="00907451"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057319">
      <w:rPr>
        <w:rFonts w:ascii="Palatino Linotype" w:hAnsi="Palatino Linotype" w:cs="Arial"/>
        <w:b/>
        <w:sz w:val="20"/>
        <w:szCs w:val="20"/>
      </w:rPr>
      <w:t xml:space="preserve"> PARTICULAR</w:t>
    </w:r>
    <w:r w:rsidR="00F81F58">
      <w:rPr>
        <w:rFonts w:ascii="Palatino Linotype" w:hAnsi="Palatino Linotype" w:cs="Arial"/>
        <w:b/>
        <w:sz w:val="20"/>
        <w:szCs w:val="20"/>
      </w:rPr>
      <w:t>.</w:t>
    </w:r>
    <w:r w:rsidR="00057319" w:rsidRPr="00563D0F">
      <w:rPr>
        <w:rFonts w:ascii="Palatino Linotype" w:hAnsi="Palatino Linotype" w:cs="Arial"/>
        <w:b/>
        <w:sz w:val="20"/>
        <w:szCs w:val="20"/>
      </w:rPr>
      <w:t xml:space="preserve"> </w:t>
    </w:r>
  </w:p>
  <w:p w:rsidR="00EE5FB0" w:rsidRPr="00563D0F" w:rsidRDefault="00057319"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1521B7">
      <w:rPr>
        <w:rFonts w:ascii="Palatino Linotype" w:hAnsi="Palatino Linotype" w:cs="Arial"/>
        <w:b/>
        <w:sz w:val="20"/>
        <w:szCs w:val="20"/>
      </w:rPr>
      <w:t>0</w:t>
    </w:r>
    <w:r w:rsidR="00CA1049">
      <w:rPr>
        <w:rFonts w:ascii="Palatino Linotype" w:hAnsi="Palatino Linotype" w:cs="Arial"/>
        <w:b/>
        <w:sz w:val="20"/>
        <w:szCs w:val="20"/>
      </w:rPr>
      <w:t>0417</w:t>
    </w:r>
    <w:r w:rsidR="00897E24" w:rsidRPr="00897E24">
      <w:rPr>
        <w:rFonts w:ascii="Palatino Linotype" w:hAnsi="Palatino Linotype" w:cs="Arial"/>
        <w:b/>
        <w:sz w:val="20"/>
        <w:szCs w:val="20"/>
      </w:rPr>
      <w:t>/INFOEM/IP/RR/201</w:t>
    </w:r>
    <w:r w:rsidR="00D22C4E">
      <w:rPr>
        <w:rFonts w:ascii="Palatino Linotype" w:hAnsi="Palatino Linotype" w:cs="Arial"/>
        <w:b/>
        <w:sz w:val="20"/>
        <w:szCs w:val="20"/>
      </w:rPr>
      <w:t>9</w:t>
    </w:r>
    <w:r w:rsidR="00143624">
      <w:rPr>
        <w:rFonts w:ascii="Palatino Linotype" w:hAnsi="Palatino Linotype" w:cs="Arial"/>
        <w:b/>
        <w:sz w:val="20"/>
        <w:szCs w:val="20"/>
      </w:rPr>
      <w:t>.</w:t>
    </w:r>
  </w:p>
  <w:p w:rsidR="00D758BE" w:rsidRDefault="00130144" w:rsidP="007263BB">
    <w:pPr>
      <w:pStyle w:val="Encabezado"/>
      <w:jc w:val="right"/>
      <w:rPr>
        <w:rFonts w:ascii="Palatino Linotype" w:hAnsi="Palatino Linotype" w:cs="Arial"/>
        <w:sz w:val="20"/>
        <w:szCs w:val="20"/>
      </w:rPr>
    </w:pPr>
  </w:p>
  <w:p w:rsidR="00233AB2" w:rsidRDefault="00130144" w:rsidP="007263BB">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CDC" w:rsidRDefault="0013014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218953" o:spid="_x0000_s2053" type="#_x0000_t136" style="position:absolute;margin-left:0;margin-top:0;width:547.2pt;height:82.05pt;rotation:315;z-index:-251656704;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1223F"/>
    <w:multiLevelType w:val="hybridMultilevel"/>
    <w:tmpl w:val="1FD22806"/>
    <w:lvl w:ilvl="0" w:tplc="0D2CC0C6">
      <w:start w:val="6"/>
      <w:numFmt w:val="decimal"/>
      <w:lvlText w:val="%1."/>
      <w:lvlJc w:val="left"/>
      <w:pPr>
        <w:ind w:left="927"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CA7050"/>
    <w:multiLevelType w:val="hybridMultilevel"/>
    <w:tmpl w:val="A7E802EC"/>
    <w:lvl w:ilvl="0" w:tplc="CEFAFC60">
      <w:start w:val="13"/>
      <w:numFmt w:val="decimal"/>
      <w:lvlText w:val="%1."/>
      <w:lvlJc w:val="left"/>
      <w:pPr>
        <w:ind w:left="927" w:hanging="360"/>
      </w:pPr>
      <w:rPr>
        <w:rFonts w:cs="Arial" w:hint="default"/>
        <w:i/>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29014DB2"/>
    <w:multiLevelType w:val="hybridMultilevel"/>
    <w:tmpl w:val="F9664EB0"/>
    <w:lvl w:ilvl="0" w:tplc="080A0019">
      <w:start w:val="1"/>
      <w:numFmt w:val="lowerLetter"/>
      <w:lvlText w:val="%1."/>
      <w:lvlJc w:val="left"/>
      <w:pPr>
        <w:ind w:left="1776" w:hanging="360"/>
      </w:pPr>
      <w:rPr>
        <w:rFont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3" w15:restartNumberingAfterBreak="0">
    <w:nsid w:val="2B2A3375"/>
    <w:multiLevelType w:val="hybridMultilevel"/>
    <w:tmpl w:val="582AC1FA"/>
    <w:lvl w:ilvl="0" w:tplc="24845AD0">
      <w:start w:val="1"/>
      <w:numFmt w:val="decimal"/>
      <w:lvlText w:val="%1."/>
      <w:lvlJc w:val="left"/>
      <w:pPr>
        <w:ind w:left="644" w:hanging="360"/>
      </w:pPr>
      <w:rPr>
        <w:sz w:val="14"/>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15:restartNumberingAfterBreak="0">
    <w:nsid w:val="2D7A5943"/>
    <w:multiLevelType w:val="hybridMultilevel"/>
    <w:tmpl w:val="6A5A80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317490"/>
    <w:multiLevelType w:val="hybridMultilevel"/>
    <w:tmpl w:val="984C0A66"/>
    <w:lvl w:ilvl="0" w:tplc="5EFE98EE">
      <w:start w:val="1"/>
      <w:numFmt w:val="decimal"/>
      <w:lvlText w:val="%1."/>
      <w:lvlJc w:val="left"/>
      <w:pPr>
        <w:ind w:left="36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67F4243"/>
    <w:multiLevelType w:val="hybridMultilevel"/>
    <w:tmpl w:val="ED5C7756"/>
    <w:lvl w:ilvl="0" w:tplc="080A000F">
      <w:start w:val="1"/>
      <w:numFmt w:val="decimal"/>
      <w:lvlText w:val="%1."/>
      <w:lvlJc w:val="left"/>
      <w:pPr>
        <w:ind w:left="644" w:hanging="360"/>
      </w:pPr>
    </w:lvl>
    <w:lvl w:ilvl="1" w:tplc="9DC4F70E">
      <w:start w:val="1"/>
      <w:numFmt w:val="lowerLetter"/>
      <w:lvlText w:val="%2."/>
      <w:lvlJc w:val="left"/>
      <w:pPr>
        <w:ind w:left="1364" w:hanging="360"/>
      </w:pPr>
      <w:rPr>
        <w:sz w:val="14"/>
      </w:r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5632A63"/>
    <w:multiLevelType w:val="hybridMultilevel"/>
    <w:tmpl w:val="9FE6ECA6"/>
    <w:lvl w:ilvl="0" w:tplc="1278F77A">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EE86B48"/>
    <w:multiLevelType w:val="hybridMultilevel"/>
    <w:tmpl w:val="85465566"/>
    <w:lvl w:ilvl="0" w:tplc="C40C89F0">
      <w:start w:val="1"/>
      <w:numFmt w:val="upperRoman"/>
      <w:lvlText w:val="%1."/>
      <w:lvlJc w:val="right"/>
      <w:pPr>
        <w:ind w:left="1428" w:hanging="360"/>
      </w:pPr>
      <w:rPr>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6"/>
  </w:num>
  <w:num w:numId="2">
    <w:abstractNumId w:val="9"/>
  </w:num>
  <w:num w:numId="3">
    <w:abstractNumId w:val="5"/>
  </w:num>
  <w:num w:numId="4">
    <w:abstractNumId w:val="0"/>
  </w:num>
  <w:num w:numId="5">
    <w:abstractNumId w:val="1"/>
  </w:num>
  <w:num w:numId="6">
    <w:abstractNumId w:val="8"/>
  </w:num>
  <w:num w:numId="7">
    <w:abstractNumId w:val="4"/>
  </w:num>
  <w:num w:numId="8">
    <w:abstractNumId w:val="3"/>
  </w:num>
  <w:num w:numId="9">
    <w:abstractNumId w:val="7"/>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56CF"/>
    <w:rsid w:val="0001221B"/>
    <w:rsid w:val="00020595"/>
    <w:rsid w:val="0002132C"/>
    <w:rsid w:val="00022E70"/>
    <w:rsid w:val="00030212"/>
    <w:rsid w:val="00032EE8"/>
    <w:rsid w:val="000345C4"/>
    <w:rsid w:val="00045788"/>
    <w:rsid w:val="00047E96"/>
    <w:rsid w:val="000508AE"/>
    <w:rsid w:val="00051C17"/>
    <w:rsid w:val="00053654"/>
    <w:rsid w:val="00057319"/>
    <w:rsid w:val="000607BA"/>
    <w:rsid w:val="000632F3"/>
    <w:rsid w:val="000642D8"/>
    <w:rsid w:val="000646F9"/>
    <w:rsid w:val="000714F2"/>
    <w:rsid w:val="000740BF"/>
    <w:rsid w:val="00074409"/>
    <w:rsid w:val="00085D13"/>
    <w:rsid w:val="0008649F"/>
    <w:rsid w:val="000959AD"/>
    <w:rsid w:val="000A05B3"/>
    <w:rsid w:val="000A05F9"/>
    <w:rsid w:val="000A1E83"/>
    <w:rsid w:val="000A1F05"/>
    <w:rsid w:val="000A2EEC"/>
    <w:rsid w:val="000A3415"/>
    <w:rsid w:val="000A4B69"/>
    <w:rsid w:val="000A52F5"/>
    <w:rsid w:val="000A6A80"/>
    <w:rsid w:val="000D45AD"/>
    <w:rsid w:val="000E41C3"/>
    <w:rsid w:val="001010BF"/>
    <w:rsid w:val="0010329E"/>
    <w:rsid w:val="001038D5"/>
    <w:rsid w:val="00112E3B"/>
    <w:rsid w:val="001209C9"/>
    <w:rsid w:val="001229EC"/>
    <w:rsid w:val="001248B9"/>
    <w:rsid w:val="001263E9"/>
    <w:rsid w:val="00130144"/>
    <w:rsid w:val="0013224F"/>
    <w:rsid w:val="001360A5"/>
    <w:rsid w:val="001411F8"/>
    <w:rsid w:val="001412C3"/>
    <w:rsid w:val="00143624"/>
    <w:rsid w:val="00147890"/>
    <w:rsid w:val="0015034F"/>
    <w:rsid w:val="001521B7"/>
    <w:rsid w:val="001528D6"/>
    <w:rsid w:val="00155046"/>
    <w:rsid w:val="0016362D"/>
    <w:rsid w:val="00166985"/>
    <w:rsid w:val="00172B32"/>
    <w:rsid w:val="00173C5B"/>
    <w:rsid w:val="00176A16"/>
    <w:rsid w:val="001822F4"/>
    <w:rsid w:val="00186F6F"/>
    <w:rsid w:val="00191236"/>
    <w:rsid w:val="00196D0F"/>
    <w:rsid w:val="001A3B49"/>
    <w:rsid w:val="001A6A37"/>
    <w:rsid w:val="001A7C78"/>
    <w:rsid w:val="001B0084"/>
    <w:rsid w:val="001B218F"/>
    <w:rsid w:val="001B271B"/>
    <w:rsid w:val="001C151C"/>
    <w:rsid w:val="001C3682"/>
    <w:rsid w:val="001C7791"/>
    <w:rsid w:val="001D1536"/>
    <w:rsid w:val="001D7FBC"/>
    <w:rsid w:val="001F0F67"/>
    <w:rsid w:val="001F622E"/>
    <w:rsid w:val="001F686D"/>
    <w:rsid w:val="001F7DB4"/>
    <w:rsid w:val="0020784D"/>
    <w:rsid w:val="00207AC4"/>
    <w:rsid w:val="00211214"/>
    <w:rsid w:val="00223CFC"/>
    <w:rsid w:val="00225005"/>
    <w:rsid w:val="00235A94"/>
    <w:rsid w:val="00253C2D"/>
    <w:rsid w:val="002813BC"/>
    <w:rsid w:val="002852F2"/>
    <w:rsid w:val="002901BE"/>
    <w:rsid w:val="00292210"/>
    <w:rsid w:val="00292D40"/>
    <w:rsid w:val="00293C24"/>
    <w:rsid w:val="002A5ADD"/>
    <w:rsid w:val="002A5F7A"/>
    <w:rsid w:val="002A6359"/>
    <w:rsid w:val="002B0D5A"/>
    <w:rsid w:val="002D3ACC"/>
    <w:rsid w:val="002D7AFB"/>
    <w:rsid w:val="002E2DB1"/>
    <w:rsid w:val="002E37F8"/>
    <w:rsid w:val="002E6C25"/>
    <w:rsid w:val="002E6F99"/>
    <w:rsid w:val="002F1845"/>
    <w:rsid w:val="0030480F"/>
    <w:rsid w:val="00313A4C"/>
    <w:rsid w:val="00314438"/>
    <w:rsid w:val="00322324"/>
    <w:rsid w:val="00322F60"/>
    <w:rsid w:val="0033414C"/>
    <w:rsid w:val="00334201"/>
    <w:rsid w:val="00335C19"/>
    <w:rsid w:val="00346DEE"/>
    <w:rsid w:val="00351122"/>
    <w:rsid w:val="00354268"/>
    <w:rsid w:val="00360393"/>
    <w:rsid w:val="0036408D"/>
    <w:rsid w:val="0037100E"/>
    <w:rsid w:val="00374C91"/>
    <w:rsid w:val="0038642F"/>
    <w:rsid w:val="0039404A"/>
    <w:rsid w:val="003A209F"/>
    <w:rsid w:val="003A25DC"/>
    <w:rsid w:val="003A4486"/>
    <w:rsid w:val="003C500B"/>
    <w:rsid w:val="003C7D1D"/>
    <w:rsid w:val="003D1840"/>
    <w:rsid w:val="003F233C"/>
    <w:rsid w:val="003F2FD3"/>
    <w:rsid w:val="00404D77"/>
    <w:rsid w:val="00411865"/>
    <w:rsid w:val="004159AF"/>
    <w:rsid w:val="00420E2F"/>
    <w:rsid w:val="00422629"/>
    <w:rsid w:val="0042332B"/>
    <w:rsid w:val="00427B9A"/>
    <w:rsid w:val="00456467"/>
    <w:rsid w:val="0045723C"/>
    <w:rsid w:val="00462FE0"/>
    <w:rsid w:val="00465786"/>
    <w:rsid w:val="00471402"/>
    <w:rsid w:val="00476CF0"/>
    <w:rsid w:val="00477E5C"/>
    <w:rsid w:val="00477FDA"/>
    <w:rsid w:val="00480D27"/>
    <w:rsid w:val="004824F7"/>
    <w:rsid w:val="00485538"/>
    <w:rsid w:val="00494916"/>
    <w:rsid w:val="0049578E"/>
    <w:rsid w:val="004B391C"/>
    <w:rsid w:val="004B6824"/>
    <w:rsid w:val="004B7BA0"/>
    <w:rsid w:val="004E0B4E"/>
    <w:rsid w:val="004E42EB"/>
    <w:rsid w:val="004F4AF9"/>
    <w:rsid w:val="004F4C1D"/>
    <w:rsid w:val="004F774F"/>
    <w:rsid w:val="0050257D"/>
    <w:rsid w:val="00503C18"/>
    <w:rsid w:val="00505F5A"/>
    <w:rsid w:val="005111D9"/>
    <w:rsid w:val="00531DBB"/>
    <w:rsid w:val="00537CCB"/>
    <w:rsid w:val="00542762"/>
    <w:rsid w:val="00543E3E"/>
    <w:rsid w:val="0055086F"/>
    <w:rsid w:val="00554837"/>
    <w:rsid w:val="005549ED"/>
    <w:rsid w:val="00560182"/>
    <w:rsid w:val="00572618"/>
    <w:rsid w:val="00575EA4"/>
    <w:rsid w:val="005777C1"/>
    <w:rsid w:val="00583D84"/>
    <w:rsid w:val="00592D7B"/>
    <w:rsid w:val="005A0D06"/>
    <w:rsid w:val="005B2141"/>
    <w:rsid w:val="005B5D7C"/>
    <w:rsid w:val="005B7B66"/>
    <w:rsid w:val="005C1F55"/>
    <w:rsid w:val="005D066B"/>
    <w:rsid w:val="005D64FA"/>
    <w:rsid w:val="005E2A98"/>
    <w:rsid w:val="005F4C0C"/>
    <w:rsid w:val="006060EE"/>
    <w:rsid w:val="00612A40"/>
    <w:rsid w:val="006135F7"/>
    <w:rsid w:val="00620BB5"/>
    <w:rsid w:val="006214D7"/>
    <w:rsid w:val="00624FDE"/>
    <w:rsid w:val="00632026"/>
    <w:rsid w:val="00633205"/>
    <w:rsid w:val="00642F43"/>
    <w:rsid w:val="00644A98"/>
    <w:rsid w:val="006467A5"/>
    <w:rsid w:val="00650509"/>
    <w:rsid w:val="00650D89"/>
    <w:rsid w:val="00650DC2"/>
    <w:rsid w:val="00652576"/>
    <w:rsid w:val="00653E25"/>
    <w:rsid w:val="0066154C"/>
    <w:rsid w:val="00661C85"/>
    <w:rsid w:val="0066206E"/>
    <w:rsid w:val="006646E5"/>
    <w:rsid w:val="00672834"/>
    <w:rsid w:val="0067524F"/>
    <w:rsid w:val="006753CB"/>
    <w:rsid w:val="006763A7"/>
    <w:rsid w:val="00676786"/>
    <w:rsid w:val="0067739E"/>
    <w:rsid w:val="0068557C"/>
    <w:rsid w:val="006861A5"/>
    <w:rsid w:val="00691E2E"/>
    <w:rsid w:val="006A142E"/>
    <w:rsid w:val="006A2894"/>
    <w:rsid w:val="006A3897"/>
    <w:rsid w:val="006A6380"/>
    <w:rsid w:val="006A6AF4"/>
    <w:rsid w:val="006B53DC"/>
    <w:rsid w:val="006B56E1"/>
    <w:rsid w:val="006B7B38"/>
    <w:rsid w:val="006C3430"/>
    <w:rsid w:val="006C34A1"/>
    <w:rsid w:val="006D71ED"/>
    <w:rsid w:val="006E048C"/>
    <w:rsid w:val="006E0A63"/>
    <w:rsid w:val="006E1102"/>
    <w:rsid w:val="006E7493"/>
    <w:rsid w:val="006F346D"/>
    <w:rsid w:val="006F4B25"/>
    <w:rsid w:val="006F7FDF"/>
    <w:rsid w:val="0070208A"/>
    <w:rsid w:val="00713C13"/>
    <w:rsid w:val="00713DB6"/>
    <w:rsid w:val="00714A12"/>
    <w:rsid w:val="0071686D"/>
    <w:rsid w:val="007238D6"/>
    <w:rsid w:val="007417CA"/>
    <w:rsid w:val="00741887"/>
    <w:rsid w:val="00744422"/>
    <w:rsid w:val="007548FD"/>
    <w:rsid w:val="007617F6"/>
    <w:rsid w:val="007676C8"/>
    <w:rsid w:val="00770853"/>
    <w:rsid w:val="0077712B"/>
    <w:rsid w:val="007841E7"/>
    <w:rsid w:val="0078458C"/>
    <w:rsid w:val="007928CC"/>
    <w:rsid w:val="007A163A"/>
    <w:rsid w:val="007B48DE"/>
    <w:rsid w:val="007B6EE5"/>
    <w:rsid w:val="007D139D"/>
    <w:rsid w:val="007D1EC7"/>
    <w:rsid w:val="007D1F21"/>
    <w:rsid w:val="007D2562"/>
    <w:rsid w:val="007D67CE"/>
    <w:rsid w:val="007E4CD0"/>
    <w:rsid w:val="007E6099"/>
    <w:rsid w:val="007E61A3"/>
    <w:rsid w:val="007F65BD"/>
    <w:rsid w:val="00817AA2"/>
    <w:rsid w:val="00820105"/>
    <w:rsid w:val="0083304F"/>
    <w:rsid w:val="00836D44"/>
    <w:rsid w:val="00840577"/>
    <w:rsid w:val="00845226"/>
    <w:rsid w:val="0084741F"/>
    <w:rsid w:val="00852954"/>
    <w:rsid w:val="00855977"/>
    <w:rsid w:val="00882515"/>
    <w:rsid w:val="00885560"/>
    <w:rsid w:val="00891A8B"/>
    <w:rsid w:val="00892DF4"/>
    <w:rsid w:val="008957B1"/>
    <w:rsid w:val="00895F2C"/>
    <w:rsid w:val="00897E24"/>
    <w:rsid w:val="008A13ED"/>
    <w:rsid w:val="008A261D"/>
    <w:rsid w:val="008A4206"/>
    <w:rsid w:val="008B691F"/>
    <w:rsid w:val="008C41DD"/>
    <w:rsid w:val="008C4482"/>
    <w:rsid w:val="008C789B"/>
    <w:rsid w:val="008D3AF3"/>
    <w:rsid w:val="008E5CE9"/>
    <w:rsid w:val="00901CBD"/>
    <w:rsid w:val="00907451"/>
    <w:rsid w:val="00921EAB"/>
    <w:rsid w:val="00952AE7"/>
    <w:rsid w:val="009532AD"/>
    <w:rsid w:val="00956FEF"/>
    <w:rsid w:val="009574A8"/>
    <w:rsid w:val="00960BAE"/>
    <w:rsid w:val="009611D3"/>
    <w:rsid w:val="009611F1"/>
    <w:rsid w:val="009672DF"/>
    <w:rsid w:val="009767C2"/>
    <w:rsid w:val="0098044D"/>
    <w:rsid w:val="009818E5"/>
    <w:rsid w:val="00984FB3"/>
    <w:rsid w:val="0098633B"/>
    <w:rsid w:val="00986652"/>
    <w:rsid w:val="009874D7"/>
    <w:rsid w:val="00995D7C"/>
    <w:rsid w:val="009A29EF"/>
    <w:rsid w:val="009A32CE"/>
    <w:rsid w:val="009A4C57"/>
    <w:rsid w:val="009A5337"/>
    <w:rsid w:val="009A5E4A"/>
    <w:rsid w:val="009B0776"/>
    <w:rsid w:val="009B4BAC"/>
    <w:rsid w:val="009C273E"/>
    <w:rsid w:val="009D4A3C"/>
    <w:rsid w:val="009F069C"/>
    <w:rsid w:val="009F2FF9"/>
    <w:rsid w:val="009F338F"/>
    <w:rsid w:val="009F44E9"/>
    <w:rsid w:val="00A01E1E"/>
    <w:rsid w:val="00A07444"/>
    <w:rsid w:val="00A074F6"/>
    <w:rsid w:val="00A1161D"/>
    <w:rsid w:val="00A1235D"/>
    <w:rsid w:val="00A21005"/>
    <w:rsid w:val="00A2363A"/>
    <w:rsid w:val="00A36454"/>
    <w:rsid w:val="00A44967"/>
    <w:rsid w:val="00A458B3"/>
    <w:rsid w:val="00A45C15"/>
    <w:rsid w:val="00A46685"/>
    <w:rsid w:val="00A60D55"/>
    <w:rsid w:val="00A65F94"/>
    <w:rsid w:val="00A70F6F"/>
    <w:rsid w:val="00A768A1"/>
    <w:rsid w:val="00A85E6E"/>
    <w:rsid w:val="00A87C94"/>
    <w:rsid w:val="00A935F3"/>
    <w:rsid w:val="00A95312"/>
    <w:rsid w:val="00A964EF"/>
    <w:rsid w:val="00AA7A64"/>
    <w:rsid w:val="00AC1290"/>
    <w:rsid w:val="00AC5E73"/>
    <w:rsid w:val="00AD0389"/>
    <w:rsid w:val="00AD204D"/>
    <w:rsid w:val="00AD2489"/>
    <w:rsid w:val="00AD24B7"/>
    <w:rsid w:val="00AE35F2"/>
    <w:rsid w:val="00B02DEB"/>
    <w:rsid w:val="00B0601C"/>
    <w:rsid w:val="00B20563"/>
    <w:rsid w:val="00B23B76"/>
    <w:rsid w:val="00B23C9B"/>
    <w:rsid w:val="00B2599D"/>
    <w:rsid w:val="00B30C53"/>
    <w:rsid w:val="00B40F71"/>
    <w:rsid w:val="00B547F4"/>
    <w:rsid w:val="00B56F36"/>
    <w:rsid w:val="00B57FC7"/>
    <w:rsid w:val="00B62AEE"/>
    <w:rsid w:val="00B63624"/>
    <w:rsid w:val="00B64C32"/>
    <w:rsid w:val="00B65705"/>
    <w:rsid w:val="00B66050"/>
    <w:rsid w:val="00B675A2"/>
    <w:rsid w:val="00B7053C"/>
    <w:rsid w:val="00B71529"/>
    <w:rsid w:val="00B76007"/>
    <w:rsid w:val="00B87693"/>
    <w:rsid w:val="00B8780C"/>
    <w:rsid w:val="00B90A99"/>
    <w:rsid w:val="00B95ED4"/>
    <w:rsid w:val="00BA0E4D"/>
    <w:rsid w:val="00BA36B1"/>
    <w:rsid w:val="00BC2372"/>
    <w:rsid w:val="00BD47C1"/>
    <w:rsid w:val="00BE3321"/>
    <w:rsid w:val="00BE3B34"/>
    <w:rsid w:val="00BE5A38"/>
    <w:rsid w:val="00BE7640"/>
    <w:rsid w:val="00BF12D9"/>
    <w:rsid w:val="00BF1C0D"/>
    <w:rsid w:val="00BF5979"/>
    <w:rsid w:val="00C04B7C"/>
    <w:rsid w:val="00C05880"/>
    <w:rsid w:val="00C07684"/>
    <w:rsid w:val="00C07F03"/>
    <w:rsid w:val="00C12EDE"/>
    <w:rsid w:val="00C168C0"/>
    <w:rsid w:val="00C20579"/>
    <w:rsid w:val="00C222AF"/>
    <w:rsid w:val="00C22C8F"/>
    <w:rsid w:val="00C25892"/>
    <w:rsid w:val="00C343FB"/>
    <w:rsid w:val="00C41484"/>
    <w:rsid w:val="00C44E15"/>
    <w:rsid w:val="00C44FD3"/>
    <w:rsid w:val="00C45410"/>
    <w:rsid w:val="00C50190"/>
    <w:rsid w:val="00C53ED0"/>
    <w:rsid w:val="00C5428A"/>
    <w:rsid w:val="00C56623"/>
    <w:rsid w:val="00C57100"/>
    <w:rsid w:val="00C57674"/>
    <w:rsid w:val="00C618CD"/>
    <w:rsid w:val="00C61C9F"/>
    <w:rsid w:val="00C64FDB"/>
    <w:rsid w:val="00C72D86"/>
    <w:rsid w:val="00C7542E"/>
    <w:rsid w:val="00C8657B"/>
    <w:rsid w:val="00C8758B"/>
    <w:rsid w:val="00C976AC"/>
    <w:rsid w:val="00CA1049"/>
    <w:rsid w:val="00CA1B5F"/>
    <w:rsid w:val="00CA2A54"/>
    <w:rsid w:val="00CA4B40"/>
    <w:rsid w:val="00CA6CDC"/>
    <w:rsid w:val="00CB19D1"/>
    <w:rsid w:val="00CB6925"/>
    <w:rsid w:val="00CC1202"/>
    <w:rsid w:val="00CC2D22"/>
    <w:rsid w:val="00CC3887"/>
    <w:rsid w:val="00CC5CDC"/>
    <w:rsid w:val="00CF0BAC"/>
    <w:rsid w:val="00CF29D2"/>
    <w:rsid w:val="00D026DB"/>
    <w:rsid w:val="00D17DDA"/>
    <w:rsid w:val="00D22C4E"/>
    <w:rsid w:val="00D24225"/>
    <w:rsid w:val="00D300AA"/>
    <w:rsid w:val="00D32E4F"/>
    <w:rsid w:val="00D33D3B"/>
    <w:rsid w:val="00D35D41"/>
    <w:rsid w:val="00D36E74"/>
    <w:rsid w:val="00D5086A"/>
    <w:rsid w:val="00D54CE0"/>
    <w:rsid w:val="00D550AF"/>
    <w:rsid w:val="00D5593C"/>
    <w:rsid w:val="00D57305"/>
    <w:rsid w:val="00D574AC"/>
    <w:rsid w:val="00D677F6"/>
    <w:rsid w:val="00D75967"/>
    <w:rsid w:val="00D75EDA"/>
    <w:rsid w:val="00D8616C"/>
    <w:rsid w:val="00DB70E3"/>
    <w:rsid w:val="00DC1FFE"/>
    <w:rsid w:val="00DC32F9"/>
    <w:rsid w:val="00DC752B"/>
    <w:rsid w:val="00DE4075"/>
    <w:rsid w:val="00DE6C63"/>
    <w:rsid w:val="00DF27E6"/>
    <w:rsid w:val="00DF5F73"/>
    <w:rsid w:val="00E00483"/>
    <w:rsid w:val="00E10DD2"/>
    <w:rsid w:val="00E1292F"/>
    <w:rsid w:val="00E20299"/>
    <w:rsid w:val="00E203E1"/>
    <w:rsid w:val="00E20BB6"/>
    <w:rsid w:val="00E21542"/>
    <w:rsid w:val="00E30FFD"/>
    <w:rsid w:val="00E34CDC"/>
    <w:rsid w:val="00E35D2D"/>
    <w:rsid w:val="00E360A3"/>
    <w:rsid w:val="00E37E64"/>
    <w:rsid w:val="00E476A5"/>
    <w:rsid w:val="00E56FC2"/>
    <w:rsid w:val="00E6402C"/>
    <w:rsid w:val="00E66D60"/>
    <w:rsid w:val="00E711B2"/>
    <w:rsid w:val="00E76358"/>
    <w:rsid w:val="00E85A7C"/>
    <w:rsid w:val="00E91BA0"/>
    <w:rsid w:val="00E920D4"/>
    <w:rsid w:val="00E96D92"/>
    <w:rsid w:val="00E971BD"/>
    <w:rsid w:val="00E97CC5"/>
    <w:rsid w:val="00EC5259"/>
    <w:rsid w:val="00ED73E4"/>
    <w:rsid w:val="00EE39C2"/>
    <w:rsid w:val="00EF0988"/>
    <w:rsid w:val="00EF6155"/>
    <w:rsid w:val="00F009CE"/>
    <w:rsid w:val="00F06808"/>
    <w:rsid w:val="00F06D48"/>
    <w:rsid w:val="00F152E8"/>
    <w:rsid w:val="00F27B85"/>
    <w:rsid w:val="00F41E26"/>
    <w:rsid w:val="00F44EC3"/>
    <w:rsid w:val="00F466F2"/>
    <w:rsid w:val="00F47DB4"/>
    <w:rsid w:val="00F508F8"/>
    <w:rsid w:val="00F63067"/>
    <w:rsid w:val="00F67414"/>
    <w:rsid w:val="00F71053"/>
    <w:rsid w:val="00F71791"/>
    <w:rsid w:val="00F7310F"/>
    <w:rsid w:val="00F76B05"/>
    <w:rsid w:val="00F77416"/>
    <w:rsid w:val="00F81F58"/>
    <w:rsid w:val="00F86364"/>
    <w:rsid w:val="00F86E78"/>
    <w:rsid w:val="00F9526D"/>
    <w:rsid w:val="00F97255"/>
    <w:rsid w:val="00FA35CD"/>
    <w:rsid w:val="00FB2497"/>
    <w:rsid w:val="00FC2D75"/>
    <w:rsid w:val="00FC45F2"/>
    <w:rsid w:val="00FC52EC"/>
    <w:rsid w:val="00FC759F"/>
    <w:rsid w:val="00FD0CA6"/>
    <w:rsid w:val="00FD0D0B"/>
    <w:rsid w:val="00FD157E"/>
    <w:rsid w:val="00FD3336"/>
    <w:rsid w:val="00FD5DEC"/>
    <w:rsid w:val="00FE3B61"/>
    <w:rsid w:val="00FE6E9B"/>
    <w:rsid w:val="00FE765D"/>
    <w:rsid w:val="00FF1C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D24B7"/>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D24B7"/>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rsid w:val="00AD24B7"/>
    <w:rPr>
      <w:vertAlign w:val="superscript"/>
    </w:rPr>
  </w:style>
  <w:style w:type="character" w:styleId="Hipervnculo">
    <w:name w:val="Hyperlink"/>
    <w:basedOn w:val="Fuentedeprrafopredeter"/>
    <w:uiPriority w:val="99"/>
    <w:unhideWhenUsed/>
    <w:rsid w:val="00D759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E1C5C52-6AD3-4152-94EA-84773588D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12</Pages>
  <Words>2855</Words>
  <Characters>15703</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60</cp:revision>
  <cp:lastPrinted>2019-03-20T00:34:00Z</cp:lastPrinted>
  <dcterms:created xsi:type="dcterms:W3CDTF">2019-03-29T11:59:00Z</dcterms:created>
  <dcterms:modified xsi:type="dcterms:W3CDTF">2019-04-12T16:56:00Z</dcterms:modified>
</cp:coreProperties>
</file>